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CC286C" w:rsidRDefault="00364E08" w:rsidP="00FE4104">
      <w:pPr>
        <w:autoSpaceDE w:val="0"/>
        <w:autoSpaceDN w:val="0"/>
        <w:adjustRightInd w:val="0"/>
        <w:spacing w:before="120" w:after="0" w:line="440" w:lineRule="exact"/>
        <w:ind w:right="-284"/>
        <w:rPr>
          <w:rFonts w:ascii="Arial" w:hAnsi="Arial" w:cs="Arial"/>
          <w:b/>
          <w:bCs/>
          <w:sz w:val="32"/>
          <w:szCs w:val="32"/>
        </w:rPr>
      </w:pPr>
      <w:r w:rsidRPr="00364E08">
        <w:rPr>
          <w:rFonts w:ascii="Arial" w:hAnsi="Arial" w:cs="Arial"/>
          <w:b/>
          <w:bCs/>
          <w:sz w:val="32"/>
          <w:szCs w:val="32"/>
        </w:rPr>
        <w:t>Neue Poliertücher mit magnetischer Rückseite verringern Zeitaufwand bei der Probenpräparation</w:t>
      </w:r>
      <w:r w:rsidR="00F6355D">
        <w:rPr>
          <w:rFonts w:ascii="Arial" w:hAnsi="Arial" w:cs="Arial"/>
          <w:b/>
          <w:bCs/>
          <w:sz w:val="32"/>
          <w:szCs w:val="32"/>
        </w:rPr>
        <w:br/>
      </w:r>
    </w:p>
    <w:p w:rsidR="009B1654" w:rsidRPr="002A02AB" w:rsidRDefault="009B1654" w:rsidP="002A02AB">
      <w:pPr>
        <w:autoSpaceDE w:val="0"/>
        <w:autoSpaceDN w:val="0"/>
        <w:adjustRightInd w:val="0"/>
        <w:spacing w:line="240" w:lineRule="auto"/>
        <w:rPr>
          <w:rFonts w:ascii="Arial" w:eastAsia="MS Mincho" w:hAnsi="Arial" w:cs="Arial"/>
          <w:i/>
          <w:sz w:val="20"/>
          <w:szCs w:val="20"/>
          <w:lang w:eastAsia="ja-JP"/>
        </w:rPr>
      </w:pPr>
      <w:r>
        <w:rPr>
          <w:b/>
          <w:bCs/>
          <w:noProof/>
          <w:szCs w:val="24"/>
          <w:lang w:eastAsia="de-DE"/>
        </w:rPr>
        <w:drawing>
          <wp:inline distT="0" distB="0" distL="0" distR="0" wp14:anchorId="1D7C5370" wp14:editId="4599A38A">
            <wp:extent cx="5467082" cy="3947678"/>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72 Polishing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7082" cy="3947678"/>
                    </a:xfrm>
                    <a:prstGeom prst="rect">
                      <a:avLst/>
                    </a:prstGeom>
                  </pic:spPr>
                </pic:pic>
              </a:graphicData>
            </a:graphic>
          </wp:inline>
        </w:drawing>
      </w:r>
      <w:r w:rsidRPr="002A02AB">
        <w:rPr>
          <w:rFonts w:ascii="Arial" w:eastAsia="MS Mincho" w:hAnsi="Arial" w:cs="Arial"/>
          <w:i/>
          <w:sz w:val="20"/>
          <w:szCs w:val="20"/>
          <w:lang w:eastAsia="ja-JP"/>
        </w:rPr>
        <w:t xml:space="preserve"> </w:t>
      </w:r>
    </w:p>
    <w:p w:rsidR="009B1654" w:rsidRPr="009B1654" w:rsidRDefault="009B1654" w:rsidP="009B1654">
      <w:pPr>
        <w:spacing w:after="120" w:line="240" w:lineRule="auto"/>
        <w:rPr>
          <w:rFonts w:ascii="Arial" w:hAnsi="Arial" w:cs="Arial"/>
          <w:i/>
          <w:sz w:val="20"/>
          <w:szCs w:val="20"/>
        </w:rPr>
      </w:pPr>
      <w:r w:rsidRPr="009B1654">
        <w:rPr>
          <w:rFonts w:ascii="Arial" w:hAnsi="Arial" w:cs="Arial"/>
          <w:i/>
          <w:sz w:val="20"/>
          <w:szCs w:val="20"/>
        </w:rPr>
        <w:t xml:space="preserve">In unterschiedlichen Größen und Ausführungen verfügbar, senken die neuen, mit einer magnetischen Rückseite versehenen Poliertücher von Buehler den Zeitaufwand bei der Probenpräparation, ohne Kompromisse bei der Gleichmäßigkeit und Qualität der Ergebnisse zu erfordern.  </w:t>
      </w:r>
      <w:r>
        <w:rPr>
          <w:rFonts w:ascii="Arial" w:hAnsi="Arial" w:cs="Arial"/>
          <w:i/>
          <w:sz w:val="20"/>
          <w:szCs w:val="20"/>
        </w:rPr>
        <w:br/>
      </w:r>
      <w:r w:rsidRPr="009B1654">
        <w:rPr>
          <w:rFonts w:ascii="Arial" w:hAnsi="Arial" w:cs="Arial"/>
          <w:i/>
          <w:sz w:val="20"/>
          <w:szCs w:val="20"/>
        </w:rPr>
        <w:t>© ITW Test &amp; Measurement GmbH</w:t>
      </w:r>
    </w:p>
    <w:p w:rsidR="00364E08" w:rsidRPr="00364E08" w:rsidRDefault="004151E1" w:rsidP="00364E08">
      <w:pPr>
        <w:spacing w:after="120" w:line="360" w:lineRule="exact"/>
        <w:rPr>
          <w:rFonts w:ascii="Arial" w:hAnsi="Arial" w:cs="Arial"/>
        </w:rPr>
      </w:pPr>
      <w:r w:rsidRPr="00A310CE">
        <w:rPr>
          <w:rFonts w:ascii="Arial" w:hAnsi="Arial" w:cs="Arial"/>
        </w:rPr>
        <w:t>Esslingen</w:t>
      </w:r>
      <w:r w:rsidR="004F18C9" w:rsidRPr="00A310CE">
        <w:rPr>
          <w:rFonts w:ascii="Arial" w:hAnsi="Arial" w:cs="Arial"/>
        </w:rPr>
        <w:t>,</w:t>
      </w:r>
      <w:r w:rsidR="00364E08">
        <w:rPr>
          <w:rFonts w:ascii="Arial" w:hAnsi="Arial" w:cs="Arial"/>
        </w:rPr>
        <w:t xml:space="preserve"> September</w:t>
      </w:r>
      <w:r w:rsidR="00671B41">
        <w:rPr>
          <w:rFonts w:ascii="Arial" w:hAnsi="Arial" w:cs="Arial"/>
        </w:rPr>
        <w:t xml:space="preserve"> </w:t>
      </w:r>
      <w:r w:rsidR="00CC286C" w:rsidRPr="00A310CE">
        <w:rPr>
          <w:rFonts w:ascii="Arial" w:hAnsi="Arial" w:cs="Arial"/>
        </w:rPr>
        <w:t>2017</w:t>
      </w:r>
      <w:r w:rsidRPr="00A310CE">
        <w:rPr>
          <w:rFonts w:ascii="Arial" w:hAnsi="Arial" w:cs="Arial"/>
        </w:rPr>
        <w:t xml:space="preserve"> </w:t>
      </w:r>
      <w:r w:rsidR="004F18C9" w:rsidRPr="00A310CE">
        <w:rPr>
          <w:rFonts w:ascii="Arial" w:hAnsi="Arial" w:cs="Arial"/>
        </w:rPr>
        <w:t>–</w:t>
      </w:r>
      <w:r w:rsidR="00CC286C" w:rsidRPr="00A310CE">
        <w:rPr>
          <w:rFonts w:ascii="Arial" w:hAnsi="Arial" w:cs="Arial"/>
        </w:rPr>
        <w:t xml:space="preserve"> </w:t>
      </w:r>
      <w:r w:rsidR="00364E08" w:rsidRPr="00364E08">
        <w:rPr>
          <w:rFonts w:ascii="Arial" w:hAnsi="Arial" w:cs="Arial"/>
        </w:rPr>
        <w:t xml:space="preserve">Buehler, ein international führender Hersteller von hochwertigen Verbrauchsmaterialien und Spezialgeräten für die Materialprüfung, hat sein Portfolio an Verbrauchsmaterialien um Poliertücher erweitert, die auf ihrer Rückseite mit einem steifen, magnetischen Träger ausgestattet sind. Für </w:t>
      </w:r>
      <w:proofErr w:type="spellStart"/>
      <w:r w:rsidR="00364E08" w:rsidRPr="00364E08">
        <w:rPr>
          <w:rFonts w:ascii="Arial" w:hAnsi="Arial" w:cs="Arial"/>
        </w:rPr>
        <w:t>materialographische</w:t>
      </w:r>
      <w:proofErr w:type="spellEnd"/>
      <w:r w:rsidR="00364E08" w:rsidRPr="00364E08">
        <w:rPr>
          <w:rFonts w:ascii="Arial" w:hAnsi="Arial" w:cs="Arial"/>
        </w:rPr>
        <w:t xml:space="preserve"> Untersuchungen an </w:t>
      </w:r>
      <w:r w:rsidR="00887FEF">
        <w:rPr>
          <w:rFonts w:ascii="Arial" w:hAnsi="Arial" w:cs="Arial"/>
        </w:rPr>
        <w:t>metallischen</w:t>
      </w:r>
      <w:r w:rsidR="00364E08" w:rsidRPr="00364E08">
        <w:rPr>
          <w:rFonts w:ascii="Arial" w:hAnsi="Arial" w:cs="Arial"/>
        </w:rPr>
        <w:t xml:space="preserve">, </w:t>
      </w:r>
      <w:r w:rsidR="00887FEF">
        <w:rPr>
          <w:rFonts w:ascii="Arial" w:hAnsi="Arial" w:cs="Arial"/>
        </w:rPr>
        <w:t>nichtmetallischen</w:t>
      </w:r>
      <w:r w:rsidR="00364E08" w:rsidRPr="00364E08">
        <w:rPr>
          <w:rFonts w:ascii="Arial" w:hAnsi="Arial" w:cs="Arial"/>
        </w:rPr>
        <w:t xml:space="preserve">, </w:t>
      </w:r>
      <w:r w:rsidR="00887FEF">
        <w:rPr>
          <w:rFonts w:ascii="Arial" w:hAnsi="Arial" w:cs="Arial"/>
        </w:rPr>
        <w:t>keramischen und polymeren</w:t>
      </w:r>
      <w:r w:rsidR="00364E08" w:rsidRPr="00364E08">
        <w:rPr>
          <w:rFonts w:ascii="Arial" w:hAnsi="Arial" w:cs="Arial"/>
        </w:rPr>
        <w:t xml:space="preserve"> Werkstoffen bietet sich damit eine praktische, anwenderfreundliche Lösung, die den Zeitaufwand für den Poliervorgang wesentlich verkürzt, weil das Befestigen des Tuchs auf der Trägerplatte entfällt.</w:t>
      </w:r>
    </w:p>
    <w:p w:rsidR="00364E08" w:rsidRPr="00364E08" w:rsidRDefault="00364E08" w:rsidP="00364E08">
      <w:pPr>
        <w:spacing w:after="120" w:line="360" w:lineRule="exact"/>
        <w:rPr>
          <w:rFonts w:ascii="Arial" w:hAnsi="Arial" w:cs="Arial"/>
        </w:rPr>
      </w:pPr>
      <w:r w:rsidRPr="00364E08">
        <w:rPr>
          <w:rFonts w:ascii="Arial" w:hAnsi="Arial" w:cs="Arial"/>
        </w:rPr>
        <w:lastRenderedPageBreak/>
        <w:t>Die neuen Tücher mit magnetischer Rückseite sind in G</w:t>
      </w:r>
      <w:r w:rsidR="009B1654">
        <w:rPr>
          <w:rFonts w:ascii="Arial" w:hAnsi="Arial" w:cs="Arial"/>
        </w:rPr>
        <w:t>rößen von 8” (203 mm), 10” (254 </w:t>
      </w:r>
      <w:r w:rsidRPr="00364E08">
        <w:rPr>
          <w:rFonts w:ascii="Arial" w:hAnsi="Arial" w:cs="Arial"/>
        </w:rPr>
        <w:t xml:space="preserve">mm) und 12” (305 mm) sowie in einer Vielzahl von Tucharten verfügbar. Unterschiedliche Stoffe, Geflechte und Florhöhen bieten dabei die passende Lösung für jede Anwendung. Das Lieferprogramm umfasst die Typen </w:t>
      </w:r>
      <w:proofErr w:type="spellStart"/>
      <w:r w:rsidRPr="00364E08">
        <w:rPr>
          <w:rFonts w:ascii="Arial" w:hAnsi="Arial" w:cs="Arial"/>
        </w:rPr>
        <w:t>UltraPad</w:t>
      </w:r>
      <w:proofErr w:type="spellEnd"/>
      <w:r w:rsidRPr="00364E08">
        <w:rPr>
          <w:rFonts w:ascii="Arial" w:hAnsi="Arial" w:cs="Arial"/>
        </w:rPr>
        <w:t xml:space="preserve">, Nylon und </w:t>
      </w:r>
      <w:proofErr w:type="spellStart"/>
      <w:r w:rsidRPr="00364E08">
        <w:rPr>
          <w:rFonts w:ascii="Arial" w:hAnsi="Arial" w:cs="Arial"/>
        </w:rPr>
        <w:t>TexMet</w:t>
      </w:r>
      <w:proofErr w:type="spellEnd"/>
      <w:r w:rsidRPr="00364E08">
        <w:rPr>
          <w:rFonts w:ascii="Arial" w:hAnsi="Arial" w:cs="Arial"/>
        </w:rPr>
        <w:t xml:space="preserve"> C für die Grob-, </w:t>
      </w:r>
      <w:proofErr w:type="spellStart"/>
      <w:r w:rsidRPr="00364E08">
        <w:rPr>
          <w:rFonts w:ascii="Arial" w:hAnsi="Arial" w:cs="Arial"/>
        </w:rPr>
        <w:t>VerduTex</w:t>
      </w:r>
      <w:proofErr w:type="spellEnd"/>
      <w:r w:rsidRPr="00364E08">
        <w:rPr>
          <w:rFonts w:ascii="Arial" w:hAnsi="Arial" w:cs="Arial"/>
        </w:rPr>
        <w:t xml:space="preserve">, </w:t>
      </w:r>
      <w:proofErr w:type="spellStart"/>
      <w:r w:rsidRPr="00364E08">
        <w:rPr>
          <w:rFonts w:ascii="Arial" w:hAnsi="Arial" w:cs="Arial"/>
        </w:rPr>
        <w:t>TriDent</w:t>
      </w:r>
      <w:proofErr w:type="spellEnd"/>
      <w:r w:rsidRPr="00364E08">
        <w:rPr>
          <w:rFonts w:ascii="Arial" w:hAnsi="Arial" w:cs="Arial"/>
        </w:rPr>
        <w:t xml:space="preserve">, </w:t>
      </w:r>
      <w:proofErr w:type="spellStart"/>
      <w:r w:rsidRPr="00364E08">
        <w:rPr>
          <w:rFonts w:ascii="Arial" w:hAnsi="Arial" w:cs="Arial"/>
        </w:rPr>
        <w:t>VelTex</w:t>
      </w:r>
      <w:proofErr w:type="spellEnd"/>
      <w:r w:rsidRPr="00364E08">
        <w:rPr>
          <w:rFonts w:ascii="Arial" w:hAnsi="Arial" w:cs="Arial"/>
        </w:rPr>
        <w:t xml:space="preserve"> und </w:t>
      </w:r>
      <w:proofErr w:type="spellStart"/>
      <w:r w:rsidRPr="00364E08">
        <w:rPr>
          <w:rFonts w:ascii="Arial" w:hAnsi="Arial" w:cs="Arial"/>
        </w:rPr>
        <w:t>PoliCloth</w:t>
      </w:r>
      <w:proofErr w:type="spellEnd"/>
      <w:r w:rsidRPr="00364E08">
        <w:rPr>
          <w:rFonts w:ascii="Arial" w:hAnsi="Arial" w:cs="Arial"/>
        </w:rPr>
        <w:t xml:space="preserve"> für die Zwischen- sowie </w:t>
      </w:r>
      <w:proofErr w:type="spellStart"/>
      <w:r w:rsidRPr="00364E08">
        <w:rPr>
          <w:rFonts w:ascii="Arial" w:hAnsi="Arial" w:cs="Arial"/>
        </w:rPr>
        <w:t>MicroCloth</w:t>
      </w:r>
      <w:proofErr w:type="spellEnd"/>
      <w:r w:rsidRPr="00364E08">
        <w:rPr>
          <w:rFonts w:ascii="Arial" w:hAnsi="Arial" w:cs="Arial"/>
        </w:rPr>
        <w:t xml:space="preserve">, </w:t>
      </w:r>
      <w:proofErr w:type="spellStart"/>
      <w:r w:rsidRPr="00364E08">
        <w:rPr>
          <w:rFonts w:ascii="Arial" w:hAnsi="Arial" w:cs="Arial"/>
        </w:rPr>
        <w:t>MicroFloc</w:t>
      </w:r>
      <w:proofErr w:type="spellEnd"/>
      <w:r w:rsidRPr="00364E08">
        <w:rPr>
          <w:rFonts w:ascii="Arial" w:hAnsi="Arial" w:cs="Arial"/>
        </w:rPr>
        <w:t xml:space="preserve">, </w:t>
      </w:r>
      <w:proofErr w:type="spellStart"/>
      <w:r w:rsidRPr="00364E08">
        <w:rPr>
          <w:rFonts w:ascii="Arial" w:hAnsi="Arial" w:cs="Arial"/>
        </w:rPr>
        <w:t>MasterTex</w:t>
      </w:r>
      <w:proofErr w:type="spellEnd"/>
      <w:r w:rsidRPr="00364E08">
        <w:rPr>
          <w:rFonts w:ascii="Arial" w:hAnsi="Arial" w:cs="Arial"/>
        </w:rPr>
        <w:t xml:space="preserve"> und </w:t>
      </w:r>
      <w:proofErr w:type="spellStart"/>
      <w:r w:rsidRPr="00364E08">
        <w:rPr>
          <w:rFonts w:ascii="Arial" w:hAnsi="Arial" w:cs="Arial"/>
        </w:rPr>
        <w:t>ChemoMet</w:t>
      </w:r>
      <w:proofErr w:type="spellEnd"/>
      <w:r w:rsidRPr="00364E08">
        <w:rPr>
          <w:rFonts w:ascii="Arial" w:hAnsi="Arial" w:cs="Arial"/>
        </w:rPr>
        <w:t xml:space="preserve"> für die Feinpolitur, jeweils im Fünferpack. </w:t>
      </w:r>
    </w:p>
    <w:p w:rsidR="00364E08" w:rsidRDefault="00364E08" w:rsidP="00364E08">
      <w:pPr>
        <w:spacing w:after="120" w:line="360" w:lineRule="exact"/>
        <w:rPr>
          <w:rFonts w:ascii="Arial" w:hAnsi="Arial" w:cs="Arial"/>
        </w:rPr>
      </w:pPr>
      <w:r w:rsidRPr="00364E08">
        <w:rPr>
          <w:rFonts w:ascii="Arial" w:hAnsi="Arial" w:cs="Arial"/>
        </w:rPr>
        <w:t xml:space="preserve">Unabhängig von der Ausführung mit oder ohne magnetische Rückseite eignen sich die Poliertücher für die gesamte Reihe der Poliersysteme der Typen </w:t>
      </w:r>
      <w:proofErr w:type="spellStart"/>
      <w:r w:rsidRPr="00364E08">
        <w:rPr>
          <w:rFonts w:ascii="Arial" w:hAnsi="Arial" w:cs="Arial"/>
        </w:rPr>
        <w:t>EcoMet</w:t>
      </w:r>
      <w:proofErr w:type="spellEnd"/>
      <w:r w:rsidR="00887FEF">
        <w:rPr>
          <w:rFonts w:ascii="Arial" w:hAnsi="Arial" w:cs="Arial"/>
        </w:rPr>
        <w:t xml:space="preserve"> und</w:t>
      </w:r>
      <w:r w:rsidRPr="00364E08">
        <w:rPr>
          <w:rFonts w:ascii="Arial" w:hAnsi="Arial" w:cs="Arial"/>
        </w:rPr>
        <w:t xml:space="preserve"> </w:t>
      </w:r>
      <w:proofErr w:type="spellStart"/>
      <w:r w:rsidRPr="00364E08">
        <w:rPr>
          <w:rFonts w:ascii="Arial" w:hAnsi="Arial" w:cs="Arial"/>
        </w:rPr>
        <w:t>MetaServ</w:t>
      </w:r>
      <w:proofErr w:type="spellEnd"/>
      <w:r w:rsidRPr="00364E08">
        <w:rPr>
          <w:rFonts w:ascii="Arial" w:hAnsi="Arial" w:cs="Arial"/>
        </w:rPr>
        <w:t xml:space="preserve"> von </w:t>
      </w:r>
      <w:proofErr w:type="spellStart"/>
      <w:r w:rsidRPr="00364E08">
        <w:rPr>
          <w:rFonts w:ascii="Arial" w:hAnsi="Arial" w:cs="Arial"/>
        </w:rPr>
        <w:t>Buehler</w:t>
      </w:r>
      <w:proofErr w:type="spellEnd"/>
      <w:r w:rsidRPr="00364E08">
        <w:rPr>
          <w:rFonts w:ascii="Arial" w:hAnsi="Arial" w:cs="Arial"/>
        </w:rPr>
        <w:t xml:space="preserve"> sowie für eine Vielzahl von Systemen anderer Hersteller.</w:t>
      </w:r>
    </w:p>
    <w:p w:rsidR="007546C5" w:rsidRPr="00364E08" w:rsidRDefault="007546C5" w:rsidP="00364E08">
      <w:pPr>
        <w:spacing w:after="120" w:line="360" w:lineRule="exact"/>
        <w:rPr>
          <w:rFonts w:ascii="Arial" w:hAnsi="Arial" w:cs="Arial"/>
        </w:rPr>
      </w:pPr>
      <w:r>
        <w:rPr>
          <w:rFonts w:ascii="Arial" w:hAnsi="Arial" w:cs="Arial"/>
        </w:rPr>
        <w:t xml:space="preserve">Dazu Andy Vogt, Anwendungsingenieur bei Buehler: „Zeitdruck ist heute auch im Prüflabor ein ständiger Begleiter, und speziell in der produktionsnahen Serienprüfung müssen die Ergebnisse </w:t>
      </w:r>
      <w:proofErr w:type="spellStart"/>
      <w:r>
        <w:rPr>
          <w:rFonts w:ascii="Arial" w:hAnsi="Arial" w:cs="Arial"/>
        </w:rPr>
        <w:t>materialographischer</w:t>
      </w:r>
      <w:proofErr w:type="spellEnd"/>
      <w:r>
        <w:rPr>
          <w:rFonts w:ascii="Arial" w:hAnsi="Arial" w:cs="Arial"/>
        </w:rPr>
        <w:t xml:space="preserve"> Untersuchungen meist zeitnah vorliegen. Je häufiger dabei ein Wechseln des Poliertuchs erforderlich ist, desto deutlicher zeigt sich der Vorteil unserer neuen, schnell fixierbaren Poliertücher. Diese leisten damit einen wertvollen Beitrag zu einem höheren Probendurchsatz und damit einer gesteigerten Produktivität des Labors.“</w:t>
      </w:r>
    </w:p>
    <w:p w:rsidR="00FE4104" w:rsidRDefault="007546C5" w:rsidP="00364E08">
      <w:pPr>
        <w:spacing w:after="120" w:line="360" w:lineRule="exact"/>
        <w:rPr>
          <w:rFonts w:ascii="Arial" w:hAnsi="Arial" w:cs="Arial"/>
        </w:rPr>
      </w:pPr>
      <w:r>
        <w:rPr>
          <w:rFonts w:ascii="Arial" w:hAnsi="Arial" w:cs="Arial"/>
        </w:rPr>
        <w:t xml:space="preserve">Als Ratgeber für Anwender </w:t>
      </w:r>
      <w:r w:rsidR="00364E08" w:rsidRPr="00364E08">
        <w:rPr>
          <w:rFonts w:ascii="Arial" w:hAnsi="Arial" w:cs="Arial"/>
        </w:rPr>
        <w:t xml:space="preserve">stellt </w:t>
      </w:r>
      <w:proofErr w:type="spellStart"/>
      <w:r w:rsidR="00364E08" w:rsidRPr="00364E08">
        <w:rPr>
          <w:rFonts w:ascii="Arial" w:hAnsi="Arial" w:cs="Arial"/>
        </w:rPr>
        <w:t>Buehler</w:t>
      </w:r>
      <w:proofErr w:type="spellEnd"/>
      <w:r w:rsidR="00364E08" w:rsidRPr="00364E08">
        <w:rPr>
          <w:rFonts w:ascii="Arial" w:hAnsi="Arial" w:cs="Arial"/>
        </w:rPr>
        <w:t xml:space="preserve"> </w:t>
      </w:r>
      <w:r>
        <w:rPr>
          <w:rFonts w:ascii="Arial" w:hAnsi="Arial" w:cs="Arial"/>
        </w:rPr>
        <w:t>i</w:t>
      </w:r>
      <w:r w:rsidRPr="00364E08">
        <w:rPr>
          <w:rFonts w:ascii="Arial" w:hAnsi="Arial" w:cs="Arial"/>
        </w:rPr>
        <w:t xml:space="preserve">n einem ergänzenden </w:t>
      </w:r>
      <w:hyperlink r:id="rId10" w:history="1">
        <w:r w:rsidRPr="009B1654">
          <w:rPr>
            <w:rStyle w:val="Hyperlink"/>
            <w:rFonts w:ascii="Arial" w:hAnsi="Arial" w:cs="Arial"/>
          </w:rPr>
          <w:t xml:space="preserve">Anwendungsleitfaden </w:t>
        </w:r>
      </w:hyperlink>
      <w:r w:rsidR="00364E08" w:rsidRPr="00364E08">
        <w:rPr>
          <w:rFonts w:ascii="Arial" w:hAnsi="Arial" w:cs="Arial"/>
        </w:rPr>
        <w:t>empfehlenswerte Vorgehensweisen beim Polieren mit Poliertüchern bei der Fein-, Zwischen- und Grobpolitur sowie Verfahren für unterschiedliche Materialien vor.</w:t>
      </w:r>
    </w:p>
    <w:p w:rsidR="007546C5" w:rsidRDefault="007546C5" w:rsidP="00EA0145">
      <w:pPr>
        <w:autoSpaceDE w:val="0"/>
        <w:autoSpaceDN w:val="0"/>
        <w:spacing w:before="40" w:after="40" w:line="240" w:lineRule="auto"/>
        <w:rPr>
          <w:rFonts w:ascii="Arial" w:hAnsi="Arial" w:cs="Arial"/>
          <w:sz w:val="20"/>
          <w:szCs w:val="20"/>
          <w:highlight w:val="yellow"/>
        </w:rPr>
      </w:pPr>
    </w:p>
    <w:p w:rsidR="00E45D3D" w:rsidRPr="00DB4704" w:rsidRDefault="00E45D3D" w:rsidP="00EA0145">
      <w:pPr>
        <w:autoSpaceDE w:val="0"/>
        <w:autoSpaceDN w:val="0"/>
        <w:spacing w:before="40" w:after="40" w:line="240" w:lineRule="auto"/>
        <w:rPr>
          <w:rFonts w:ascii="Arial" w:hAnsi="Arial" w:cs="Arial"/>
          <w:sz w:val="20"/>
          <w:szCs w:val="20"/>
        </w:rPr>
      </w:pPr>
      <w:proofErr w:type="spellStart"/>
      <w:r w:rsidRPr="007546C5">
        <w:rPr>
          <w:rFonts w:ascii="Arial" w:hAnsi="Arial" w:cs="Arial"/>
          <w:b/>
          <w:sz w:val="20"/>
          <w:szCs w:val="20"/>
        </w:rPr>
        <w:t>Buehler</w:t>
      </w:r>
      <w:proofErr w:type="spellEnd"/>
      <w:r w:rsidRPr="007546C5">
        <w:rPr>
          <w:rFonts w:ascii="Arial" w:hAnsi="Arial" w:cs="Arial"/>
          <w:b/>
          <w:sz w:val="20"/>
          <w:szCs w:val="20"/>
        </w:rPr>
        <w:t xml:space="preserve">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 xml:space="preserve">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7546C5">
        <w:rPr>
          <w:rFonts w:ascii="Arial" w:hAnsi="Arial" w:cs="Arial"/>
          <w:sz w:val="20"/>
          <w:szCs w:val="20"/>
        </w:rPr>
        <w:t>Buehler</w:t>
      </w:r>
      <w:proofErr w:type="spellEnd"/>
      <w:r w:rsidRPr="007546C5">
        <w:rPr>
          <w:rFonts w:ascii="Arial" w:hAnsi="Arial" w:cs="Arial"/>
          <w:sz w:val="20"/>
          <w:szCs w:val="20"/>
        </w:rPr>
        <w:t xml:space="preserve"> Solutions </w:t>
      </w:r>
      <w:proofErr w:type="spellStart"/>
      <w:r w:rsidRPr="007546C5">
        <w:rPr>
          <w:rFonts w:ascii="Arial" w:hAnsi="Arial" w:cs="Arial"/>
          <w:sz w:val="20"/>
          <w:szCs w:val="20"/>
        </w:rPr>
        <w:t>Centre</w:t>
      </w:r>
      <w:proofErr w:type="spellEnd"/>
      <w:r w:rsidRPr="007546C5">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Pr="007546C5">
        <w:rPr>
          <w:rFonts w:ascii="Arial" w:hAnsi="Arial" w:cs="Arial"/>
          <w:sz w:val="20"/>
          <w:szCs w:val="20"/>
        </w:rPr>
        <w:br/>
        <w:t xml:space="preserve">Buehler ist Teil des Test and Measurement Segments der US-amerikanischen </w:t>
      </w:r>
      <w:r w:rsidRPr="007546C5">
        <w:rPr>
          <w:rFonts w:ascii="Arial" w:hAnsi="Arial" w:cs="Arial"/>
          <w:b/>
          <w:sz w:val="20"/>
          <w:szCs w:val="20"/>
        </w:rPr>
        <w:t>Illinois Tool Works</w:t>
      </w:r>
      <w:r w:rsidRPr="007546C5">
        <w:rPr>
          <w:rFonts w:ascii="Arial" w:hAnsi="Arial" w:cs="Arial"/>
          <w:sz w:val="20"/>
          <w:szCs w:val="20"/>
        </w:rPr>
        <w:t xml:space="preserve"> (ITW) mit rund 200 dezentralisierten Geschäftseinheiten in 52 Ländern und rund 45,000 Mitarbeitern.</w:t>
      </w:r>
    </w:p>
    <w:p w:rsidR="00994AF2" w:rsidRPr="00F50C39" w:rsidRDefault="00994AF2" w:rsidP="009B1654">
      <w:pPr>
        <w:spacing w:before="600" w:after="0" w:line="240" w:lineRule="auto"/>
        <w:rPr>
          <w:rFonts w:ascii="Arial" w:eastAsia="MS Mincho" w:hAnsi="Arial" w:cs="Arial"/>
          <w:b/>
          <w:noProof/>
          <w:color w:val="000000"/>
          <w:sz w:val="20"/>
          <w:szCs w:val="20"/>
          <w:u w:val="single"/>
        </w:rPr>
      </w:pPr>
      <w:r w:rsidRPr="00F50C39">
        <w:rPr>
          <w:rFonts w:ascii="Arial" w:eastAsia="MS Mincho" w:hAnsi="Arial" w:cs="Arial"/>
          <w:b/>
          <w:noProof/>
          <w:color w:val="000000"/>
          <w:sz w:val="20"/>
          <w:szCs w:val="20"/>
          <w:u w:val="single"/>
        </w:rPr>
        <w:t>Redaktioneller Kontakt und Belegexemplare:</w:t>
      </w:r>
    </w:p>
    <w:p w:rsidR="00994AF2" w:rsidRPr="00F50C39" w:rsidRDefault="00994AF2" w:rsidP="00994AF2">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 xml:space="preserve">Dr.-Ing. Jörg Wolters, Konsens PR GmbH &amp; Co. KG, </w:t>
      </w:r>
    </w:p>
    <w:p w:rsidR="00994AF2" w:rsidRPr="00F50C39" w:rsidRDefault="00994AF2" w:rsidP="00994AF2">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Hans-Kudlich-Straße 25, D-64823 Groß-Umstadt – www.konsens.de</w:t>
      </w:r>
    </w:p>
    <w:p w:rsidR="00994AF2" w:rsidRPr="00F50C39" w:rsidRDefault="00994AF2" w:rsidP="00DB4704">
      <w:pPr>
        <w:spacing w:after="24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 xml:space="preserve">Tel.: +49 (0) 60 78 / 93 63 - 0, Fax: - 20, E-Mail: </w:t>
      </w:r>
      <w:hyperlink r:id="rId11" w:history="1">
        <w:r w:rsidR="00C016E4" w:rsidRPr="00F50C39">
          <w:rPr>
            <w:rStyle w:val="Hyperlink"/>
            <w:rFonts w:ascii="Arial" w:eastAsia="MS Mincho" w:hAnsi="Arial" w:cs="Arial"/>
            <w:noProof/>
            <w:sz w:val="20"/>
            <w:szCs w:val="20"/>
          </w:rPr>
          <w:t>mail@konsens.de</w:t>
        </w:r>
      </w:hyperlink>
    </w:p>
    <w:p w:rsidR="00994AF2" w:rsidRPr="00F50C39" w:rsidRDefault="00994AF2" w:rsidP="009B1654">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i/>
          <w:sz w:val="20"/>
          <w:szCs w:val="20"/>
        </w:rPr>
      </w:pPr>
      <w:r w:rsidRPr="00F50C39">
        <w:rPr>
          <w:rFonts w:ascii="Arial" w:hAnsi="Arial" w:cs="Arial"/>
          <w:i/>
          <w:sz w:val="20"/>
          <w:szCs w:val="20"/>
        </w:rPr>
        <w:t>Liebe Kolleginnen und Kollegen,</w:t>
      </w:r>
    </w:p>
    <w:p w:rsidR="00E22E71" w:rsidRPr="00F50C39" w:rsidRDefault="00994AF2" w:rsidP="00293088">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sz w:val="20"/>
          <w:szCs w:val="20"/>
        </w:rPr>
      </w:pPr>
      <w:r w:rsidRPr="00F50C39">
        <w:rPr>
          <w:rFonts w:ascii="Arial" w:hAnsi="Arial" w:cs="Arial"/>
          <w:i/>
          <w:sz w:val="20"/>
          <w:szCs w:val="20"/>
        </w:rPr>
        <w:t>Presseinformationen von Buehler mit Text sowie Bildern in druckfähiger Auflösung sind als Download verfügbar unter:</w:t>
      </w:r>
      <w:r w:rsidR="00293088" w:rsidRPr="00F50C39">
        <w:rPr>
          <w:rFonts w:ascii="Arial" w:hAnsi="Arial" w:cs="Arial"/>
          <w:i/>
          <w:sz w:val="20"/>
          <w:szCs w:val="20"/>
        </w:rPr>
        <w:t xml:space="preserve"> </w:t>
      </w:r>
      <w:hyperlink r:id="rId12" w:history="1">
        <w:r w:rsidRPr="00F50C39">
          <w:rPr>
            <w:rStyle w:val="Hyperlink"/>
            <w:rFonts w:ascii="Arial" w:hAnsi="Arial" w:cs="Arial"/>
            <w:i/>
            <w:sz w:val="20"/>
            <w:szCs w:val="20"/>
          </w:rPr>
          <w:t>www.konsens.de/</w:t>
        </w:r>
        <w:r w:rsidR="00C944BF" w:rsidRPr="00F50C39">
          <w:rPr>
            <w:rStyle w:val="Hyperlink"/>
            <w:rFonts w:ascii="Arial" w:hAnsi="Arial" w:cs="Arial"/>
            <w:i/>
            <w:sz w:val="20"/>
            <w:szCs w:val="20"/>
          </w:rPr>
          <w:t>buehler</w:t>
        </w:r>
        <w:r w:rsidRPr="00F50C39">
          <w:rPr>
            <w:rStyle w:val="Hyperlink"/>
            <w:rFonts w:ascii="Arial" w:hAnsi="Arial" w:cs="Arial"/>
            <w:i/>
            <w:sz w:val="20"/>
            <w:szCs w:val="20"/>
          </w:rPr>
          <w:t>.html</w:t>
        </w:r>
      </w:hyperlink>
    </w:p>
    <w:sectPr w:rsidR="00E22E71" w:rsidRPr="00F50C39" w:rsidSect="00CC286C">
      <w:headerReference w:type="even" r:id="rId13"/>
      <w:headerReference w:type="default" r:id="rId14"/>
      <w:footerReference w:type="even" r:id="rId15"/>
      <w:footerReference w:type="default" r:id="rId16"/>
      <w:headerReference w:type="first" r:id="rId17"/>
      <w:footerReference w:type="first" r:id="rId18"/>
      <w:pgSz w:w="11906" w:h="16838"/>
      <w:pgMar w:top="2093"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33" w:rsidRDefault="00A42533" w:rsidP="00995D5B">
      <w:pPr>
        <w:spacing w:after="0" w:line="240" w:lineRule="auto"/>
      </w:pPr>
      <w:r>
        <w:separator/>
      </w:r>
    </w:p>
  </w:endnote>
  <w:endnote w:type="continuationSeparator" w:id="0">
    <w:p w:rsidR="00A42533" w:rsidRDefault="00A42533"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D" w:rsidRDefault="00D80A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D80A4D">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D80A4D" w:rsidRPr="00D80A4D">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364E08">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D80A4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D80A4D" w:rsidRPr="00D80A4D">
        <w:rPr>
          <w:rStyle w:val="Seitenzahl"/>
          <w:rFonts w:ascii="Arial" w:hAnsi="Arial" w:cs="Arial"/>
          <w:noProof/>
          <w:sz w:val="20"/>
          <w:szCs w:val="20"/>
        </w:rPr>
        <w:t>2</w:t>
      </w:r>
    </w:fldSimple>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364E08">
      <w:rPr>
        <w:rFonts w:ascii="Arial" w:hAnsi="Arial" w:cs="Arial"/>
        <w:color w:val="000000"/>
        <w:sz w:val="17"/>
        <w:szCs w:val="17"/>
        <w:lang w:eastAsia="de-DE"/>
      </w:rPr>
      <w:t xml:space="preserve">Buehler – ITW Test &amp; Measurement GmbH – </w:t>
    </w:r>
    <w:r w:rsidR="004151E1" w:rsidRPr="00364E08">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t>
    </w:r>
    <w:r w:rsidR="00EA311A" w:rsidRPr="00EA311A">
      <w:rPr>
        <w:rFonts w:ascii="Arial" w:hAnsi="Arial" w:cs="Arial"/>
        <w:color w:val="000000"/>
        <w:sz w:val="17"/>
        <w:szCs w:val="17"/>
        <w:lang w:eastAsia="de-DE"/>
      </w:rPr>
      <w:t>www.buehler-met.de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33" w:rsidRDefault="00A42533" w:rsidP="00995D5B">
      <w:pPr>
        <w:spacing w:after="0" w:line="240" w:lineRule="auto"/>
      </w:pPr>
      <w:r>
        <w:separator/>
      </w:r>
    </w:p>
  </w:footnote>
  <w:footnote w:type="continuationSeparator" w:id="0">
    <w:p w:rsidR="00A42533" w:rsidRDefault="00A42533"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D" w:rsidRDefault="00D80A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323B70" w:rsidRPr="002A4AF5" w:rsidTr="008E1B06">
      <w:trPr>
        <w:trHeight w:val="2697"/>
      </w:trPr>
      <w:tc>
        <w:tcPr>
          <w:tcW w:w="4606" w:type="dxa"/>
          <w:shd w:val="clear" w:color="auto" w:fill="auto"/>
        </w:tcPr>
        <w:p w:rsidR="00323B70" w:rsidRDefault="00323B70" w:rsidP="008E1B06">
          <w:pPr>
            <w:tabs>
              <w:tab w:val="right" w:pos="9072"/>
            </w:tabs>
            <w:spacing w:line="240" w:lineRule="auto"/>
          </w:pPr>
        </w:p>
      </w:tc>
      <w:tc>
        <w:tcPr>
          <w:tcW w:w="4626"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2E35542A" wp14:editId="4EEAA74C">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323B70" w:rsidRPr="002A4AF5" w:rsidRDefault="00D80A4D" w:rsidP="00364E08">
          <w:pPr>
            <w:tabs>
              <w:tab w:val="left" w:pos="4395"/>
              <w:tab w:val="left" w:pos="5387"/>
            </w:tabs>
            <w:autoSpaceDE w:val="0"/>
            <w:autoSpaceDN w:val="0"/>
            <w:adjustRightInd w:val="0"/>
            <w:spacing w:after="0" w:line="240" w:lineRule="auto"/>
            <w:rPr>
              <w:lang w:val="en-US"/>
            </w:rPr>
          </w:pPr>
          <w:hyperlink r:id="rId2" w:history="1">
            <w:r w:rsidRPr="00D80A4D">
              <w:rPr>
                <w:rFonts w:ascii="Arial" w:hAnsi="Arial" w:cs="Arial"/>
                <w:bCs/>
                <w:sz w:val="20"/>
                <w:szCs w:val="20"/>
                <w:lang w:eastAsia="de-DE"/>
              </w:rPr>
              <w:t>marketing@buehler.com</w:t>
            </w:r>
          </w:hyperlink>
          <w:r w:rsidRPr="00D80A4D">
            <w:rPr>
              <w:rFonts w:ascii="Arial" w:hAnsi="Arial" w:cs="Arial"/>
              <w:bCs/>
              <w:sz w:val="20"/>
              <w:szCs w:val="20"/>
              <w:lang w:eastAsia="de-DE"/>
            </w:rPr>
            <w:t> </w:t>
          </w:r>
          <w:bookmarkStart w:id="0" w:name="_GoBack"/>
          <w:bookmarkEnd w:id="0"/>
          <w:r w:rsidRPr="00D80A4D">
            <w:rPr>
              <w:rFonts w:ascii="Arial" w:hAnsi="Arial" w:cs="Arial"/>
              <w:bCs/>
              <w:sz w:val="20"/>
              <w:szCs w:val="20"/>
              <w:lang w:eastAsia="de-DE"/>
            </w:rPr>
            <w:br/>
            <w:t>Tel. 0711-490 4690-0</w:t>
          </w:r>
        </w:p>
      </w:tc>
    </w:tr>
  </w:tbl>
  <w:p w:rsidR="00813C16" w:rsidRPr="005B6004" w:rsidRDefault="005B6004" w:rsidP="005B6004">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as Pascher - ITW Test &amp; Measurement GmbH">
    <w15:presenceInfo w15:providerId="AD" w15:userId="S-1-5-21-1700170815-1780631426-2047790674-1640"/>
  </w15:person>
  <w15:person w15:author="Braunbarth, Joan">
    <w15:presenceInfo w15:providerId="None" w15:userId="Braunbarth, Jo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5CA"/>
    <w:rsid w:val="00007D54"/>
    <w:rsid w:val="00010055"/>
    <w:rsid w:val="00010BDF"/>
    <w:rsid w:val="00014C21"/>
    <w:rsid w:val="000164B7"/>
    <w:rsid w:val="000176E1"/>
    <w:rsid w:val="00022F1E"/>
    <w:rsid w:val="00030A84"/>
    <w:rsid w:val="000366DD"/>
    <w:rsid w:val="00042D1B"/>
    <w:rsid w:val="000477B5"/>
    <w:rsid w:val="000559C5"/>
    <w:rsid w:val="00055E39"/>
    <w:rsid w:val="000571FC"/>
    <w:rsid w:val="0006156C"/>
    <w:rsid w:val="00065AA2"/>
    <w:rsid w:val="0006724D"/>
    <w:rsid w:val="00091221"/>
    <w:rsid w:val="000949EE"/>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4985"/>
    <w:rsid w:val="004C5BC6"/>
    <w:rsid w:val="004C5DEF"/>
    <w:rsid w:val="004D5CD0"/>
    <w:rsid w:val="004E7DFB"/>
    <w:rsid w:val="004F18C9"/>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13D4B"/>
    <w:rsid w:val="0062357C"/>
    <w:rsid w:val="00625EA7"/>
    <w:rsid w:val="0063401A"/>
    <w:rsid w:val="00634D0B"/>
    <w:rsid w:val="006464F0"/>
    <w:rsid w:val="00661870"/>
    <w:rsid w:val="0066790D"/>
    <w:rsid w:val="00671254"/>
    <w:rsid w:val="00671B41"/>
    <w:rsid w:val="0067282F"/>
    <w:rsid w:val="00677D36"/>
    <w:rsid w:val="00692DB7"/>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7491"/>
    <w:rsid w:val="008A1598"/>
    <w:rsid w:val="008A4C5C"/>
    <w:rsid w:val="008A514F"/>
    <w:rsid w:val="008B45CD"/>
    <w:rsid w:val="008C1F2C"/>
    <w:rsid w:val="008C6D57"/>
    <w:rsid w:val="008D134E"/>
    <w:rsid w:val="008D1784"/>
    <w:rsid w:val="008D4D0F"/>
    <w:rsid w:val="008E1B06"/>
    <w:rsid w:val="008E340A"/>
    <w:rsid w:val="008E365A"/>
    <w:rsid w:val="008E5250"/>
    <w:rsid w:val="008F76DF"/>
    <w:rsid w:val="00901814"/>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7BC3"/>
    <w:rsid w:val="00D70AFB"/>
    <w:rsid w:val="00D7127E"/>
    <w:rsid w:val="00D72744"/>
    <w:rsid w:val="00D7511D"/>
    <w:rsid w:val="00D7763B"/>
    <w:rsid w:val="00D80A4D"/>
    <w:rsid w:val="00D8393A"/>
    <w:rsid w:val="00D84EB3"/>
    <w:rsid w:val="00D97300"/>
    <w:rsid w:val="00DA15AA"/>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merlin\server\1_Projekte\B&#252;hler\2016-0376%20IsoMet%20High%20Speed%20Saw\alt\www.konsens.de\buehler.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uehler.com/Brochures/English/Grinding-Polishing/FN01465_0216_Polishing_Application_Guide_WEB.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53F0-EBE6-4922-B5A1-CCC19F6E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43899931.dotm</Template>
  <TotalTime>0</TotalTime>
  <Pages>2</Pages>
  <Words>552</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4027</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3</cp:revision>
  <cp:lastPrinted>2012-04-13T12:55:00Z</cp:lastPrinted>
  <dcterms:created xsi:type="dcterms:W3CDTF">2017-09-27T08:19:00Z</dcterms:created>
  <dcterms:modified xsi:type="dcterms:W3CDTF">2018-02-26T07:20:00Z</dcterms:modified>
</cp:coreProperties>
</file>