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71" w:rsidRDefault="00DA63FC" w:rsidP="00F94285">
      <w:pPr>
        <w:spacing w:after="120" w:line="360" w:lineRule="auto"/>
        <w:jc w:val="center"/>
        <w:rPr>
          <w:rFonts w:ascii="Times New Roman" w:hAnsi="Times New Roman"/>
          <w:b/>
          <w:sz w:val="24"/>
          <w:szCs w:val="24"/>
          <w:lang w:val="de-DE"/>
        </w:rPr>
      </w:pPr>
      <w:r>
        <w:rPr>
          <w:rFonts w:ascii="Times New Roman" w:hAnsi="Times New Roman"/>
          <w:b/>
          <w:sz w:val="24"/>
          <w:szCs w:val="24"/>
          <w:lang w:val="de-DE"/>
        </w:rPr>
        <w:t xml:space="preserve">Hochsichtbarer Chemikalienschutzanzug </w:t>
      </w:r>
      <w:proofErr w:type="spellStart"/>
      <w:r w:rsidR="00E15D71" w:rsidRPr="00E15D71">
        <w:rPr>
          <w:rFonts w:ascii="Times New Roman" w:hAnsi="Times New Roman"/>
          <w:b/>
          <w:sz w:val="24"/>
          <w:szCs w:val="24"/>
          <w:lang w:val="de-DE"/>
        </w:rPr>
        <w:t>Tyvek</w:t>
      </w:r>
      <w:proofErr w:type="spellEnd"/>
      <w:r w:rsidR="00E15D71" w:rsidRPr="00B5641E">
        <w:rPr>
          <w:rFonts w:ascii="Times New Roman" w:hAnsi="Times New Roman"/>
          <w:b/>
          <w:sz w:val="24"/>
          <w:szCs w:val="24"/>
          <w:vertAlign w:val="superscript"/>
          <w:lang w:val="de-DE"/>
        </w:rPr>
        <w:t>®</w:t>
      </w:r>
      <w:r w:rsidR="00E15D71" w:rsidRPr="00E15D71">
        <w:rPr>
          <w:rFonts w:ascii="Times New Roman" w:hAnsi="Times New Roman"/>
          <w:b/>
          <w:sz w:val="24"/>
          <w:szCs w:val="24"/>
          <w:lang w:val="de-DE"/>
        </w:rPr>
        <w:t xml:space="preserve"> 500 HV von</w:t>
      </w:r>
      <w:r w:rsidR="00E15D71">
        <w:rPr>
          <w:rFonts w:ascii="Times New Roman" w:hAnsi="Times New Roman"/>
          <w:b/>
          <w:sz w:val="24"/>
          <w:szCs w:val="24"/>
          <w:lang w:val="de-DE"/>
        </w:rPr>
        <w:t xml:space="preserve"> </w:t>
      </w:r>
      <w:r w:rsidR="00E15D71" w:rsidRPr="00E15D71">
        <w:rPr>
          <w:rFonts w:ascii="Times New Roman" w:hAnsi="Times New Roman"/>
          <w:b/>
          <w:sz w:val="24"/>
          <w:szCs w:val="24"/>
          <w:lang w:val="de-DE"/>
        </w:rPr>
        <w:t>DuPo</w:t>
      </w:r>
      <w:r>
        <w:rPr>
          <w:rFonts w:ascii="Times New Roman" w:hAnsi="Times New Roman"/>
          <w:b/>
          <w:sz w:val="24"/>
          <w:szCs w:val="24"/>
          <w:lang w:val="de-DE"/>
        </w:rPr>
        <w:t>nt</w:t>
      </w:r>
      <w:r>
        <w:rPr>
          <w:rFonts w:ascii="Times New Roman" w:hAnsi="Times New Roman"/>
          <w:b/>
          <w:sz w:val="24"/>
          <w:szCs w:val="24"/>
          <w:lang w:val="de-DE"/>
        </w:rPr>
        <w:br/>
      </w:r>
      <w:r w:rsidR="00971750">
        <w:rPr>
          <w:rFonts w:ascii="Times New Roman" w:hAnsi="Times New Roman"/>
          <w:b/>
          <w:sz w:val="24"/>
          <w:szCs w:val="24"/>
          <w:lang w:val="de-DE"/>
        </w:rPr>
        <w:t>schützt</w:t>
      </w:r>
      <w:r>
        <w:rPr>
          <w:rFonts w:ascii="Times New Roman" w:hAnsi="Times New Roman"/>
          <w:b/>
          <w:sz w:val="24"/>
          <w:szCs w:val="24"/>
          <w:lang w:val="de-DE"/>
        </w:rPr>
        <w:t xml:space="preserve"> </w:t>
      </w:r>
      <w:r w:rsidR="00971750">
        <w:rPr>
          <w:rFonts w:ascii="Times New Roman" w:hAnsi="Times New Roman"/>
          <w:b/>
          <w:sz w:val="24"/>
          <w:szCs w:val="24"/>
          <w:lang w:val="de-DE"/>
        </w:rPr>
        <w:t>Mitarbeiter</w:t>
      </w:r>
      <w:r w:rsidR="00E15D71" w:rsidRPr="00E15D71">
        <w:rPr>
          <w:rFonts w:ascii="Times New Roman" w:hAnsi="Times New Roman"/>
          <w:b/>
          <w:sz w:val="24"/>
          <w:szCs w:val="24"/>
          <w:lang w:val="de-DE"/>
        </w:rPr>
        <w:t xml:space="preserve"> der französischen </w:t>
      </w:r>
      <w:r w:rsidR="00971750">
        <w:rPr>
          <w:rFonts w:ascii="Times New Roman" w:hAnsi="Times New Roman"/>
          <w:b/>
          <w:sz w:val="24"/>
          <w:szCs w:val="24"/>
          <w:lang w:val="de-DE"/>
        </w:rPr>
        <w:t xml:space="preserve">Eisenbahngesellschaft </w:t>
      </w:r>
      <w:r w:rsidR="00E15D71" w:rsidRPr="00E15D71">
        <w:rPr>
          <w:rFonts w:ascii="Times New Roman" w:hAnsi="Times New Roman"/>
          <w:b/>
          <w:sz w:val="24"/>
          <w:szCs w:val="24"/>
          <w:lang w:val="de-DE"/>
        </w:rPr>
        <w:t>SNCF</w:t>
      </w:r>
      <w:r w:rsidR="00E15D71">
        <w:rPr>
          <w:rFonts w:ascii="Times New Roman" w:hAnsi="Times New Roman"/>
          <w:b/>
          <w:sz w:val="24"/>
          <w:szCs w:val="24"/>
          <w:lang w:val="de-DE"/>
        </w:rPr>
        <w:t xml:space="preserve"> </w:t>
      </w:r>
    </w:p>
    <w:p w:rsidR="00971750" w:rsidRPr="00971750" w:rsidRDefault="00971750" w:rsidP="00971750">
      <w:pPr>
        <w:spacing w:after="120" w:line="360" w:lineRule="auto"/>
        <w:jc w:val="center"/>
        <w:rPr>
          <w:rFonts w:ascii="Times New Roman" w:hAnsi="Times New Roman"/>
          <w:i/>
          <w:sz w:val="24"/>
          <w:szCs w:val="24"/>
          <w:lang w:val="de-DE"/>
        </w:rPr>
      </w:pPr>
      <w:r>
        <w:rPr>
          <w:rFonts w:ascii="Times New Roman" w:hAnsi="Times New Roman"/>
          <w:i/>
          <w:sz w:val="24"/>
          <w:szCs w:val="24"/>
          <w:lang w:val="de-DE"/>
        </w:rPr>
        <w:t>2-in-1-Schutzanzug bietet hohe Sichtbarkeit und</w:t>
      </w:r>
      <w:r>
        <w:rPr>
          <w:rFonts w:ascii="Times New Roman" w:hAnsi="Times New Roman"/>
          <w:i/>
          <w:sz w:val="24"/>
          <w:szCs w:val="24"/>
          <w:lang w:val="de-DE"/>
        </w:rPr>
        <w:br/>
        <w:t>schützt zugleich gegen chemische und biologische Gefahrstoffe</w:t>
      </w:r>
    </w:p>
    <w:p w:rsidR="003B54A4" w:rsidRDefault="000E03D5" w:rsidP="00F94285">
      <w:pPr>
        <w:spacing w:after="120" w:line="360" w:lineRule="auto"/>
        <w:rPr>
          <w:rFonts w:ascii="Times New Roman" w:hAnsi="Times New Roman"/>
          <w:sz w:val="24"/>
          <w:szCs w:val="24"/>
          <w:lang w:val="de-DE"/>
        </w:rPr>
      </w:pPr>
      <w:r>
        <w:rPr>
          <w:rFonts w:ascii="Times New Roman" w:hAnsi="Times New Roman"/>
          <w:sz w:val="24"/>
          <w:szCs w:val="24"/>
          <w:lang w:val="de-DE"/>
        </w:rPr>
        <w:t>Düsseldorf, 17. Oktober</w:t>
      </w:r>
      <w:r w:rsidR="00BD27C2">
        <w:rPr>
          <w:rFonts w:ascii="Times New Roman" w:hAnsi="Times New Roman"/>
          <w:sz w:val="24"/>
          <w:szCs w:val="24"/>
          <w:lang w:val="de-DE"/>
        </w:rPr>
        <w:t xml:space="preserve"> 2017.</w:t>
      </w:r>
      <w:r w:rsidR="004A06FE" w:rsidRPr="006E61E6">
        <w:rPr>
          <w:rFonts w:ascii="Times New Roman" w:hAnsi="Times New Roman"/>
          <w:sz w:val="24"/>
          <w:szCs w:val="24"/>
          <w:lang w:val="de-DE"/>
        </w:rPr>
        <w:t xml:space="preserve"> </w:t>
      </w:r>
      <w:r w:rsidR="00C473B1">
        <w:rPr>
          <w:rFonts w:ascii="Times New Roman" w:hAnsi="Times New Roman"/>
          <w:sz w:val="24"/>
          <w:szCs w:val="24"/>
          <w:lang w:val="de-DE"/>
        </w:rPr>
        <w:t xml:space="preserve">DuPont </w:t>
      </w:r>
      <w:proofErr w:type="spellStart"/>
      <w:r w:rsidR="00C473B1">
        <w:rPr>
          <w:rFonts w:ascii="Times New Roman" w:hAnsi="Times New Roman"/>
          <w:sz w:val="24"/>
          <w:szCs w:val="24"/>
          <w:lang w:val="de-DE"/>
        </w:rPr>
        <w:t>Protection</w:t>
      </w:r>
      <w:proofErr w:type="spellEnd"/>
      <w:r w:rsidR="00C473B1">
        <w:rPr>
          <w:rFonts w:ascii="Times New Roman" w:hAnsi="Times New Roman"/>
          <w:sz w:val="24"/>
          <w:szCs w:val="24"/>
          <w:lang w:val="de-DE"/>
        </w:rPr>
        <w:t xml:space="preserve"> Solutions (ipp.dupont.com) hat in enger Zusammenarbeit mit der französischen Eisenbahngesellschaft SNCF eine neue Schutzkleidungslösung entwickelt, die hohe Sichtbarkeit mit Schutz gegen Chemikalien und Infektionserreger verbindet. </w:t>
      </w:r>
      <w:r w:rsidR="00235AE7">
        <w:rPr>
          <w:rFonts w:ascii="Times New Roman" w:hAnsi="Times New Roman"/>
          <w:sz w:val="24"/>
          <w:szCs w:val="24"/>
          <w:lang w:val="de-DE"/>
        </w:rPr>
        <w:t xml:space="preserve">In mehr als zwölf Monaten </w:t>
      </w:r>
      <w:r w:rsidR="008E3EDB">
        <w:rPr>
          <w:rFonts w:ascii="Times New Roman" w:hAnsi="Times New Roman"/>
          <w:sz w:val="24"/>
          <w:szCs w:val="24"/>
          <w:lang w:val="de-DE"/>
        </w:rPr>
        <w:t>gemeinsamer Arbeit</w:t>
      </w:r>
      <w:r w:rsidR="00235AE7">
        <w:rPr>
          <w:rFonts w:ascii="Times New Roman" w:hAnsi="Times New Roman"/>
          <w:sz w:val="24"/>
          <w:szCs w:val="24"/>
          <w:lang w:val="de-DE"/>
        </w:rPr>
        <w:t xml:space="preserve"> entstand d</w:t>
      </w:r>
      <w:r w:rsidR="00114FB2">
        <w:rPr>
          <w:rFonts w:ascii="Times New Roman" w:hAnsi="Times New Roman"/>
          <w:sz w:val="24"/>
          <w:szCs w:val="24"/>
          <w:lang w:val="de-DE"/>
        </w:rPr>
        <w:t xml:space="preserve">er </w:t>
      </w:r>
      <w:r w:rsidR="005D3982">
        <w:rPr>
          <w:rFonts w:ascii="Times New Roman" w:hAnsi="Times New Roman"/>
          <w:sz w:val="24"/>
          <w:szCs w:val="24"/>
          <w:lang w:val="de-DE"/>
        </w:rPr>
        <w:t>Typ 5/6 Chemikaliens</w:t>
      </w:r>
      <w:r w:rsidR="00114FB2">
        <w:rPr>
          <w:rFonts w:ascii="Times New Roman" w:hAnsi="Times New Roman"/>
          <w:sz w:val="24"/>
          <w:szCs w:val="24"/>
          <w:lang w:val="de-DE"/>
        </w:rPr>
        <w:t xml:space="preserve">chutzanzug </w:t>
      </w:r>
      <w:proofErr w:type="spellStart"/>
      <w:r w:rsidR="004B0A77">
        <w:rPr>
          <w:rFonts w:ascii="Times New Roman" w:hAnsi="Times New Roman"/>
          <w:sz w:val="24"/>
          <w:szCs w:val="24"/>
          <w:lang w:val="de-DE"/>
        </w:rPr>
        <w:t>Tyvek</w:t>
      </w:r>
      <w:proofErr w:type="spellEnd"/>
      <w:r w:rsidR="004B0A77" w:rsidRPr="004B0A77">
        <w:rPr>
          <w:rFonts w:ascii="Times New Roman" w:hAnsi="Times New Roman"/>
          <w:sz w:val="24"/>
          <w:szCs w:val="24"/>
          <w:vertAlign w:val="superscript"/>
          <w:lang w:val="de-DE"/>
        </w:rPr>
        <w:t>®</w:t>
      </w:r>
      <w:r w:rsidR="004B0A77">
        <w:rPr>
          <w:rFonts w:ascii="Times New Roman" w:hAnsi="Times New Roman"/>
          <w:sz w:val="24"/>
          <w:szCs w:val="24"/>
          <w:lang w:val="de-DE"/>
        </w:rPr>
        <w:t xml:space="preserve"> 500 HV</w:t>
      </w:r>
      <w:r w:rsidR="00AC2D69">
        <w:rPr>
          <w:rFonts w:ascii="Times New Roman" w:hAnsi="Times New Roman"/>
          <w:sz w:val="24"/>
          <w:szCs w:val="24"/>
          <w:lang w:val="de-DE"/>
        </w:rPr>
        <w:t xml:space="preserve"> mit begrenzter Einsatzdauer</w:t>
      </w:r>
      <w:r w:rsidR="00235AE7">
        <w:rPr>
          <w:rFonts w:ascii="Times New Roman" w:hAnsi="Times New Roman"/>
          <w:sz w:val="24"/>
          <w:szCs w:val="24"/>
          <w:lang w:val="de-DE"/>
        </w:rPr>
        <w:t>. Er</w:t>
      </w:r>
      <w:r w:rsidR="001B2898">
        <w:rPr>
          <w:rFonts w:ascii="Times New Roman" w:hAnsi="Times New Roman"/>
          <w:sz w:val="24"/>
          <w:szCs w:val="24"/>
          <w:lang w:val="de-DE"/>
        </w:rPr>
        <w:t xml:space="preserve"> </w:t>
      </w:r>
      <w:r w:rsidR="004D3F56">
        <w:rPr>
          <w:rFonts w:ascii="Times New Roman" w:hAnsi="Times New Roman"/>
          <w:sz w:val="24"/>
          <w:szCs w:val="24"/>
          <w:lang w:val="de-DE"/>
        </w:rPr>
        <w:t xml:space="preserve">besteht aus einem in fluoreszierendem Orange eingefärbten </w:t>
      </w:r>
      <w:proofErr w:type="spellStart"/>
      <w:r w:rsidR="004D3F56">
        <w:rPr>
          <w:rFonts w:ascii="Times New Roman" w:hAnsi="Times New Roman"/>
          <w:sz w:val="24"/>
          <w:szCs w:val="24"/>
          <w:lang w:val="de-DE"/>
        </w:rPr>
        <w:t>Tyvek</w:t>
      </w:r>
      <w:proofErr w:type="spellEnd"/>
      <w:r w:rsidR="004D3F56" w:rsidRPr="005E765A">
        <w:rPr>
          <w:rFonts w:ascii="Times New Roman" w:hAnsi="Times New Roman"/>
          <w:sz w:val="24"/>
          <w:szCs w:val="24"/>
          <w:vertAlign w:val="superscript"/>
          <w:lang w:val="de-DE"/>
        </w:rPr>
        <w:t>®</w:t>
      </w:r>
      <w:r w:rsidR="004D3F56" w:rsidRPr="00332C5C">
        <w:rPr>
          <w:lang w:val="de-DE"/>
        </w:rPr>
        <w:t xml:space="preserve"> </w:t>
      </w:r>
      <w:r w:rsidR="004D3F56" w:rsidRPr="00332C5C">
        <w:rPr>
          <w:rFonts w:ascii="Times New Roman" w:hAnsi="Times New Roman"/>
          <w:sz w:val="24"/>
          <w:szCs w:val="24"/>
          <w:lang w:val="de-DE"/>
        </w:rPr>
        <w:t>Material</w:t>
      </w:r>
      <w:r w:rsidR="004D3F56">
        <w:rPr>
          <w:rFonts w:ascii="Times New Roman" w:hAnsi="Times New Roman"/>
          <w:sz w:val="24"/>
          <w:szCs w:val="24"/>
          <w:lang w:val="de-DE"/>
        </w:rPr>
        <w:t xml:space="preserve"> und besitzt silberne Reflexionsstreifen</w:t>
      </w:r>
      <w:r w:rsidR="005F32FD">
        <w:rPr>
          <w:rFonts w:ascii="Times New Roman" w:hAnsi="Times New Roman"/>
          <w:sz w:val="24"/>
          <w:szCs w:val="24"/>
          <w:lang w:val="de-DE"/>
        </w:rPr>
        <w:t>.</w:t>
      </w:r>
      <w:r w:rsidR="00235AE7">
        <w:rPr>
          <w:rFonts w:ascii="Times New Roman" w:hAnsi="Times New Roman"/>
          <w:sz w:val="24"/>
          <w:szCs w:val="24"/>
          <w:lang w:val="de-DE"/>
        </w:rPr>
        <w:t xml:space="preserve"> So schützt er</w:t>
      </w:r>
      <w:r w:rsidR="00E6569B">
        <w:rPr>
          <w:rFonts w:ascii="Times New Roman" w:hAnsi="Times New Roman"/>
          <w:sz w:val="24"/>
          <w:szCs w:val="24"/>
          <w:lang w:val="de-DE"/>
        </w:rPr>
        <w:t xml:space="preserve"> die mit der Wartung und Reparatur </w:t>
      </w:r>
      <w:r w:rsidR="00B87080">
        <w:rPr>
          <w:rFonts w:ascii="Times New Roman" w:hAnsi="Times New Roman"/>
          <w:sz w:val="24"/>
          <w:szCs w:val="24"/>
          <w:lang w:val="de-DE"/>
        </w:rPr>
        <w:t xml:space="preserve">von Zügen </w:t>
      </w:r>
      <w:r w:rsidR="00E6569B">
        <w:rPr>
          <w:rFonts w:ascii="Times New Roman" w:hAnsi="Times New Roman"/>
          <w:sz w:val="24"/>
          <w:szCs w:val="24"/>
          <w:lang w:val="de-DE"/>
        </w:rPr>
        <w:t xml:space="preserve">beschäftigten Mitarbeiter im Lokdepot </w:t>
      </w:r>
      <w:r w:rsidR="00A23FCB">
        <w:rPr>
          <w:rFonts w:ascii="Times New Roman" w:hAnsi="Times New Roman"/>
          <w:sz w:val="24"/>
          <w:szCs w:val="24"/>
          <w:lang w:val="de-DE"/>
        </w:rPr>
        <w:t xml:space="preserve">der SNCF </w:t>
      </w:r>
      <w:r w:rsidR="00E6569B">
        <w:rPr>
          <w:rFonts w:ascii="Times New Roman" w:hAnsi="Times New Roman"/>
          <w:sz w:val="24"/>
          <w:szCs w:val="24"/>
          <w:lang w:val="de-DE"/>
        </w:rPr>
        <w:t xml:space="preserve">in </w:t>
      </w:r>
      <w:proofErr w:type="spellStart"/>
      <w:r w:rsidR="00E6569B">
        <w:rPr>
          <w:rFonts w:ascii="Times New Roman" w:hAnsi="Times New Roman"/>
          <w:sz w:val="24"/>
          <w:szCs w:val="24"/>
          <w:lang w:val="de-DE"/>
        </w:rPr>
        <w:t>Limousin</w:t>
      </w:r>
      <w:proofErr w:type="spellEnd"/>
      <w:r w:rsidR="00272276">
        <w:rPr>
          <w:rFonts w:ascii="Times New Roman" w:hAnsi="Times New Roman"/>
          <w:sz w:val="24"/>
          <w:szCs w:val="24"/>
          <w:lang w:val="de-DE"/>
        </w:rPr>
        <w:t xml:space="preserve"> vor chemischen und biologisc</w:t>
      </w:r>
      <w:r w:rsidR="00235AE7">
        <w:rPr>
          <w:rFonts w:ascii="Times New Roman" w:hAnsi="Times New Roman"/>
          <w:sz w:val="24"/>
          <w:szCs w:val="24"/>
          <w:lang w:val="de-DE"/>
        </w:rPr>
        <w:t xml:space="preserve">hen Gefahrstoffen sowie Schmutz und </w:t>
      </w:r>
      <w:r w:rsidR="00C9436A">
        <w:rPr>
          <w:rFonts w:ascii="Times New Roman" w:hAnsi="Times New Roman"/>
          <w:sz w:val="24"/>
          <w:szCs w:val="24"/>
          <w:lang w:val="de-DE"/>
        </w:rPr>
        <w:t xml:space="preserve">sorgt für zusätzliche Sicherheit bei schlechten </w:t>
      </w:r>
      <w:r w:rsidR="00235AE7">
        <w:rPr>
          <w:rFonts w:ascii="Times New Roman" w:hAnsi="Times New Roman"/>
          <w:sz w:val="24"/>
          <w:szCs w:val="24"/>
          <w:lang w:val="de-DE"/>
        </w:rPr>
        <w:t>Licht- und Witterungsverhältnissen.</w:t>
      </w:r>
    </w:p>
    <w:p w:rsidR="00BE742C" w:rsidRDefault="00661A0D" w:rsidP="00F94285">
      <w:pPr>
        <w:spacing w:after="120" w:line="360" w:lineRule="auto"/>
        <w:rPr>
          <w:rFonts w:ascii="Times New Roman" w:hAnsi="Times New Roman"/>
          <w:sz w:val="24"/>
          <w:szCs w:val="24"/>
          <w:lang w:val="de-DE"/>
        </w:rPr>
      </w:pPr>
      <w:r>
        <w:rPr>
          <w:rFonts w:ascii="Times New Roman" w:hAnsi="Times New Roman"/>
          <w:sz w:val="24"/>
          <w:szCs w:val="24"/>
          <w:lang w:val="de-DE"/>
        </w:rPr>
        <w:t>In der Nähe des Bahnhofs Limoges</w:t>
      </w:r>
      <w:r w:rsidR="00BF3CCB">
        <w:rPr>
          <w:rFonts w:ascii="Times New Roman" w:hAnsi="Times New Roman"/>
          <w:sz w:val="24"/>
          <w:szCs w:val="24"/>
          <w:lang w:val="de-DE"/>
        </w:rPr>
        <w:t>-</w:t>
      </w:r>
      <w:proofErr w:type="spellStart"/>
      <w:r>
        <w:rPr>
          <w:rFonts w:ascii="Times New Roman" w:hAnsi="Times New Roman"/>
          <w:sz w:val="24"/>
          <w:szCs w:val="24"/>
          <w:lang w:val="de-DE"/>
        </w:rPr>
        <w:t>Bénédictins</w:t>
      </w:r>
      <w:proofErr w:type="spellEnd"/>
      <w:r>
        <w:rPr>
          <w:rFonts w:ascii="Times New Roman" w:hAnsi="Times New Roman"/>
          <w:sz w:val="24"/>
          <w:szCs w:val="24"/>
          <w:lang w:val="de-DE"/>
        </w:rPr>
        <w:t xml:space="preserve"> befindet sich eines der 38 technischen Wartungszentren </w:t>
      </w:r>
      <w:r w:rsidR="00AE1671">
        <w:rPr>
          <w:rFonts w:ascii="Times New Roman" w:hAnsi="Times New Roman"/>
          <w:sz w:val="24"/>
          <w:szCs w:val="24"/>
          <w:lang w:val="de-DE"/>
        </w:rPr>
        <w:t xml:space="preserve">der </w:t>
      </w:r>
      <w:r w:rsidR="0077136C">
        <w:rPr>
          <w:rFonts w:ascii="Times New Roman" w:hAnsi="Times New Roman"/>
          <w:sz w:val="24"/>
          <w:szCs w:val="24"/>
          <w:lang w:val="de-DE"/>
        </w:rPr>
        <w:t xml:space="preserve">Abteilung Betriebsmittelverwaltung der </w:t>
      </w:r>
      <w:r w:rsidR="00AE1671">
        <w:rPr>
          <w:rFonts w:ascii="Times New Roman" w:hAnsi="Times New Roman"/>
          <w:sz w:val="24"/>
          <w:szCs w:val="24"/>
          <w:lang w:val="de-DE"/>
        </w:rPr>
        <w:t>französischen Eisenbahngesellschaft SNCF</w:t>
      </w:r>
      <w:r w:rsidR="00B90E88">
        <w:rPr>
          <w:rFonts w:ascii="Times New Roman" w:hAnsi="Times New Roman"/>
          <w:sz w:val="24"/>
          <w:szCs w:val="24"/>
          <w:lang w:val="de-DE"/>
        </w:rPr>
        <w:t>: das Lokdepot EMT (</w:t>
      </w:r>
      <w:proofErr w:type="spellStart"/>
      <w:r w:rsidR="00B90E88" w:rsidRPr="00B90E88">
        <w:rPr>
          <w:rFonts w:ascii="Times New Roman" w:hAnsi="Times New Roman"/>
          <w:sz w:val="24"/>
          <w:szCs w:val="24"/>
          <w:lang w:val="de-DE"/>
        </w:rPr>
        <w:t>Établissement</w:t>
      </w:r>
      <w:proofErr w:type="spellEnd"/>
      <w:r w:rsidR="00B90E88" w:rsidRPr="00B90E88">
        <w:rPr>
          <w:rFonts w:ascii="Times New Roman" w:hAnsi="Times New Roman"/>
          <w:sz w:val="24"/>
          <w:szCs w:val="24"/>
          <w:lang w:val="de-DE"/>
        </w:rPr>
        <w:t xml:space="preserve"> </w:t>
      </w:r>
      <w:proofErr w:type="spellStart"/>
      <w:r w:rsidR="00B90E88" w:rsidRPr="00B90E88">
        <w:rPr>
          <w:rFonts w:ascii="Times New Roman" w:hAnsi="Times New Roman"/>
          <w:sz w:val="24"/>
          <w:szCs w:val="24"/>
          <w:lang w:val="de-DE"/>
        </w:rPr>
        <w:t>matériel</w:t>
      </w:r>
      <w:proofErr w:type="spellEnd"/>
      <w:r w:rsidR="00B90E88" w:rsidRPr="00B90E88">
        <w:rPr>
          <w:rFonts w:ascii="Times New Roman" w:hAnsi="Times New Roman"/>
          <w:sz w:val="24"/>
          <w:szCs w:val="24"/>
          <w:lang w:val="de-DE"/>
        </w:rPr>
        <w:t xml:space="preserve"> et </w:t>
      </w:r>
      <w:proofErr w:type="spellStart"/>
      <w:r w:rsidR="00B90E88" w:rsidRPr="00B90E88">
        <w:rPr>
          <w:rFonts w:ascii="Times New Roman" w:hAnsi="Times New Roman"/>
          <w:sz w:val="24"/>
          <w:szCs w:val="24"/>
          <w:lang w:val="de-DE"/>
        </w:rPr>
        <w:t>traction</w:t>
      </w:r>
      <w:proofErr w:type="spellEnd"/>
      <w:r w:rsidR="00B90E88">
        <w:rPr>
          <w:rFonts w:ascii="Times New Roman" w:hAnsi="Times New Roman"/>
          <w:sz w:val="24"/>
          <w:szCs w:val="24"/>
          <w:lang w:val="de-DE"/>
        </w:rPr>
        <w:t xml:space="preserve">) in </w:t>
      </w:r>
      <w:proofErr w:type="spellStart"/>
      <w:r w:rsidR="00B90E88">
        <w:rPr>
          <w:rFonts w:ascii="Times New Roman" w:hAnsi="Times New Roman"/>
          <w:sz w:val="24"/>
          <w:szCs w:val="24"/>
          <w:lang w:val="de-DE"/>
        </w:rPr>
        <w:t>Limousin</w:t>
      </w:r>
      <w:proofErr w:type="spellEnd"/>
      <w:r w:rsidR="00B90E88">
        <w:rPr>
          <w:rFonts w:ascii="Times New Roman" w:hAnsi="Times New Roman"/>
          <w:sz w:val="24"/>
          <w:szCs w:val="24"/>
          <w:lang w:val="de-DE"/>
        </w:rPr>
        <w:t xml:space="preserve">. </w:t>
      </w:r>
      <w:r w:rsidR="002D3797">
        <w:rPr>
          <w:rFonts w:ascii="Times New Roman" w:hAnsi="Times New Roman"/>
          <w:sz w:val="24"/>
          <w:szCs w:val="24"/>
          <w:lang w:val="de-DE"/>
        </w:rPr>
        <w:t xml:space="preserve">Von den </w:t>
      </w:r>
      <w:r w:rsidR="004C5E45">
        <w:rPr>
          <w:rFonts w:ascii="Times New Roman" w:hAnsi="Times New Roman"/>
          <w:sz w:val="24"/>
          <w:szCs w:val="24"/>
          <w:lang w:val="de-DE"/>
        </w:rPr>
        <w:t xml:space="preserve">insgesamt </w:t>
      </w:r>
      <w:r w:rsidR="0090085D">
        <w:rPr>
          <w:rFonts w:ascii="Times New Roman" w:hAnsi="Times New Roman"/>
          <w:sz w:val="24"/>
          <w:szCs w:val="24"/>
          <w:lang w:val="de-DE"/>
        </w:rPr>
        <w:t xml:space="preserve">450 </w:t>
      </w:r>
      <w:r w:rsidR="002D3797">
        <w:rPr>
          <w:rFonts w:ascii="Times New Roman" w:hAnsi="Times New Roman"/>
          <w:sz w:val="24"/>
          <w:szCs w:val="24"/>
          <w:lang w:val="de-DE"/>
        </w:rPr>
        <w:t xml:space="preserve">für die Wartung von Loks der für den Regionalverkehr zuständigen Tochtergesellschaft </w:t>
      </w:r>
      <w:r w:rsidR="002D3797" w:rsidRPr="003D4B73">
        <w:rPr>
          <w:rFonts w:ascii="Times New Roman" w:hAnsi="Times New Roman"/>
          <w:sz w:val="24"/>
          <w:szCs w:val="24"/>
          <w:lang w:val="de-DE"/>
        </w:rPr>
        <w:t xml:space="preserve">Transport express </w:t>
      </w:r>
      <w:proofErr w:type="spellStart"/>
      <w:r w:rsidR="002D3797" w:rsidRPr="003D4B73">
        <w:rPr>
          <w:rFonts w:ascii="Times New Roman" w:hAnsi="Times New Roman"/>
          <w:sz w:val="24"/>
          <w:szCs w:val="24"/>
          <w:lang w:val="de-DE"/>
        </w:rPr>
        <w:t>régional</w:t>
      </w:r>
      <w:proofErr w:type="spellEnd"/>
      <w:r w:rsidR="002D3797" w:rsidRPr="003D4B73">
        <w:rPr>
          <w:rFonts w:ascii="Times New Roman" w:hAnsi="Times New Roman"/>
          <w:sz w:val="24"/>
          <w:szCs w:val="24"/>
          <w:lang w:val="de-DE"/>
        </w:rPr>
        <w:t xml:space="preserve"> (TER)</w:t>
      </w:r>
      <w:r w:rsidR="002D3797">
        <w:rPr>
          <w:rFonts w:ascii="Times New Roman" w:hAnsi="Times New Roman"/>
          <w:sz w:val="24"/>
          <w:szCs w:val="24"/>
          <w:lang w:val="de-DE"/>
        </w:rPr>
        <w:t xml:space="preserve"> verantwortlichen </w:t>
      </w:r>
      <w:r w:rsidR="003D4B73">
        <w:rPr>
          <w:rFonts w:ascii="Times New Roman" w:hAnsi="Times New Roman"/>
          <w:sz w:val="24"/>
          <w:szCs w:val="24"/>
          <w:lang w:val="de-DE"/>
        </w:rPr>
        <w:t>Mitarbeiter</w:t>
      </w:r>
      <w:r w:rsidR="002D3797">
        <w:rPr>
          <w:rFonts w:ascii="Times New Roman" w:hAnsi="Times New Roman"/>
          <w:sz w:val="24"/>
          <w:szCs w:val="24"/>
          <w:lang w:val="de-DE"/>
        </w:rPr>
        <w:t xml:space="preserve"> </w:t>
      </w:r>
      <w:r w:rsidR="00305293">
        <w:rPr>
          <w:rFonts w:ascii="Times New Roman" w:hAnsi="Times New Roman"/>
          <w:sz w:val="24"/>
          <w:szCs w:val="24"/>
          <w:lang w:val="de-DE"/>
        </w:rPr>
        <w:t>sind</w:t>
      </w:r>
      <w:r w:rsidR="003D4B73">
        <w:rPr>
          <w:rFonts w:ascii="Times New Roman" w:hAnsi="Times New Roman"/>
          <w:sz w:val="24"/>
          <w:szCs w:val="24"/>
          <w:lang w:val="de-DE"/>
        </w:rPr>
        <w:t xml:space="preserve"> </w:t>
      </w:r>
      <w:r w:rsidR="00D203EA">
        <w:rPr>
          <w:rFonts w:ascii="Times New Roman" w:hAnsi="Times New Roman"/>
          <w:sz w:val="24"/>
          <w:szCs w:val="24"/>
          <w:lang w:val="de-DE"/>
        </w:rPr>
        <w:t>150 von ihnen täglich</w:t>
      </w:r>
      <w:r w:rsidR="003D4B73">
        <w:rPr>
          <w:rFonts w:ascii="Times New Roman" w:hAnsi="Times New Roman"/>
          <w:sz w:val="24"/>
          <w:szCs w:val="24"/>
          <w:lang w:val="de-DE"/>
        </w:rPr>
        <w:t xml:space="preserve"> in der Werkstatt oder auf dem Außengelände</w:t>
      </w:r>
      <w:r w:rsidR="002D3797">
        <w:rPr>
          <w:rFonts w:ascii="Times New Roman" w:hAnsi="Times New Roman"/>
          <w:sz w:val="24"/>
          <w:szCs w:val="24"/>
          <w:lang w:val="de-DE"/>
        </w:rPr>
        <w:t xml:space="preserve"> </w:t>
      </w:r>
      <w:r w:rsidR="00305293">
        <w:rPr>
          <w:rFonts w:ascii="Times New Roman" w:hAnsi="Times New Roman"/>
          <w:sz w:val="24"/>
          <w:szCs w:val="24"/>
          <w:lang w:val="de-DE"/>
        </w:rPr>
        <w:t>mit der Wartung und Reparatur von Zügen beschäftigt</w:t>
      </w:r>
      <w:r w:rsidR="003D4B73">
        <w:rPr>
          <w:rFonts w:ascii="Times New Roman" w:hAnsi="Times New Roman"/>
          <w:sz w:val="24"/>
          <w:szCs w:val="24"/>
          <w:lang w:val="de-DE"/>
        </w:rPr>
        <w:t>.</w:t>
      </w:r>
    </w:p>
    <w:p w:rsidR="00BE742C" w:rsidRPr="00CD2B08" w:rsidRDefault="00BE742C" w:rsidP="00BE742C">
      <w:pPr>
        <w:spacing w:after="120" w:line="360" w:lineRule="auto"/>
        <w:rPr>
          <w:rFonts w:ascii="Times New Roman" w:hAnsi="Times New Roman"/>
          <w:sz w:val="24"/>
          <w:szCs w:val="24"/>
          <w:lang w:val="de-DE"/>
        </w:rPr>
      </w:pPr>
      <w:r w:rsidRPr="00F32397">
        <w:rPr>
          <w:rFonts w:ascii="Times New Roman" w:hAnsi="Times New Roman"/>
          <w:sz w:val="24"/>
          <w:szCs w:val="24"/>
          <w:lang w:val="de-DE"/>
        </w:rPr>
        <w:t xml:space="preserve">Béatrice </w:t>
      </w:r>
      <w:proofErr w:type="spellStart"/>
      <w:r w:rsidRPr="00F32397">
        <w:rPr>
          <w:rFonts w:ascii="Times New Roman" w:hAnsi="Times New Roman"/>
          <w:sz w:val="24"/>
          <w:szCs w:val="24"/>
          <w:lang w:val="de-DE"/>
        </w:rPr>
        <w:t>Boussavie</w:t>
      </w:r>
      <w:proofErr w:type="spellEnd"/>
      <w:r w:rsidRPr="00F32397">
        <w:rPr>
          <w:rFonts w:ascii="Times New Roman" w:hAnsi="Times New Roman"/>
          <w:sz w:val="24"/>
          <w:szCs w:val="24"/>
          <w:lang w:val="de-DE"/>
        </w:rPr>
        <w:t>, Arbeitsschutzexpertin am</w:t>
      </w:r>
      <w:r>
        <w:rPr>
          <w:rFonts w:ascii="Times New Roman" w:hAnsi="Times New Roman"/>
          <w:sz w:val="24"/>
          <w:szCs w:val="24"/>
          <w:lang w:val="de-DE"/>
        </w:rPr>
        <w:t xml:space="preserve"> EMT in </w:t>
      </w:r>
      <w:proofErr w:type="spellStart"/>
      <w:r>
        <w:rPr>
          <w:rFonts w:ascii="Times New Roman" w:hAnsi="Times New Roman"/>
          <w:sz w:val="24"/>
          <w:szCs w:val="24"/>
          <w:lang w:val="de-DE"/>
        </w:rPr>
        <w:t>Limousin</w:t>
      </w:r>
      <w:proofErr w:type="spellEnd"/>
      <w:r>
        <w:rPr>
          <w:rFonts w:ascii="Times New Roman" w:hAnsi="Times New Roman"/>
          <w:sz w:val="24"/>
          <w:szCs w:val="24"/>
          <w:lang w:val="de-DE"/>
        </w:rPr>
        <w:t xml:space="preserve"> und zuständig für die </w:t>
      </w:r>
      <w:r w:rsidRPr="00E87B75">
        <w:rPr>
          <w:rFonts w:ascii="Times New Roman" w:hAnsi="Times New Roman"/>
          <w:sz w:val="24"/>
          <w:szCs w:val="24"/>
          <w:lang w:val="de-DE"/>
        </w:rPr>
        <w:t>Prävention von Risiken am Arbeitsplatz</w:t>
      </w:r>
      <w:r>
        <w:rPr>
          <w:rFonts w:ascii="Times New Roman" w:hAnsi="Times New Roman"/>
          <w:sz w:val="24"/>
          <w:szCs w:val="24"/>
          <w:lang w:val="de-DE"/>
        </w:rPr>
        <w:t xml:space="preserve">, hielt für jeden Mitarbeiter 23 waschbare, hoch sichtbare textile Arbeitskleidungsartikel bereit. Darüber hinaus standen für schmutzintensive Arbeiten in der Werkstatt </w:t>
      </w:r>
      <w:r w:rsidRPr="00CD2B08">
        <w:rPr>
          <w:rFonts w:ascii="Times New Roman" w:hAnsi="Times New Roman"/>
          <w:sz w:val="24"/>
          <w:szCs w:val="24"/>
          <w:lang w:val="de-DE"/>
        </w:rPr>
        <w:t xml:space="preserve">DuPont™ </w:t>
      </w:r>
      <w:proofErr w:type="spellStart"/>
      <w:r w:rsidRPr="00CD2B08">
        <w:rPr>
          <w:rFonts w:ascii="Times New Roman" w:hAnsi="Times New Roman"/>
          <w:sz w:val="24"/>
          <w:szCs w:val="24"/>
          <w:lang w:val="de-DE"/>
        </w:rPr>
        <w:t>Tyvek</w:t>
      </w:r>
      <w:proofErr w:type="spellEnd"/>
      <w:r w:rsidRPr="00CD2B08">
        <w:rPr>
          <w:rFonts w:ascii="Times New Roman" w:hAnsi="Times New Roman"/>
          <w:sz w:val="24"/>
          <w:szCs w:val="24"/>
          <w:vertAlign w:val="superscript"/>
          <w:lang w:val="de-DE"/>
        </w:rPr>
        <w:t>®</w:t>
      </w:r>
      <w:r w:rsidRPr="00CD2B08">
        <w:rPr>
          <w:rFonts w:ascii="Times New Roman" w:hAnsi="Times New Roman"/>
          <w:sz w:val="24"/>
          <w:szCs w:val="24"/>
          <w:lang w:val="de-DE"/>
        </w:rPr>
        <w:t xml:space="preserve"> Dual</w:t>
      </w:r>
      <w:r>
        <w:rPr>
          <w:rFonts w:ascii="Times New Roman" w:hAnsi="Times New Roman"/>
          <w:sz w:val="24"/>
          <w:szCs w:val="24"/>
          <w:lang w:val="de-DE"/>
        </w:rPr>
        <w:t xml:space="preserve"> Schutzanzüge mit begrenzter Einsatzdauer zur Verfügung. Um die Mitarbeiter während ihrer Tätigkeiten neben den in Betrieb </w:t>
      </w:r>
      <w:r>
        <w:rPr>
          <w:rFonts w:ascii="Times New Roman" w:hAnsi="Times New Roman"/>
          <w:sz w:val="24"/>
          <w:szCs w:val="24"/>
          <w:lang w:val="de-DE"/>
        </w:rPr>
        <w:lastRenderedPageBreak/>
        <w:t>befindlichen Bahnstrecken vor Gefahren zu schützen, war die Eisenbahngesellschaft auf der Suche nach Typ 5 und 6 Chemikalienschutzanzügen, die die folgenden Kriterien erfüllen:</w:t>
      </w:r>
    </w:p>
    <w:p w:rsidR="00BE742C" w:rsidRPr="00A91E26" w:rsidRDefault="00BE742C" w:rsidP="00BE742C">
      <w:pPr>
        <w:pStyle w:val="Listenabsatz"/>
        <w:numPr>
          <w:ilvl w:val="0"/>
          <w:numId w:val="2"/>
        </w:numPr>
        <w:tabs>
          <w:tab w:val="left" w:pos="567"/>
        </w:tabs>
        <w:spacing w:after="120" w:line="360" w:lineRule="auto"/>
        <w:ind w:left="567" w:hanging="207"/>
        <w:rPr>
          <w:rFonts w:ascii="Times New Roman" w:hAnsi="Times New Roman"/>
          <w:sz w:val="24"/>
          <w:szCs w:val="24"/>
          <w:lang w:val="de-DE"/>
        </w:rPr>
      </w:pPr>
      <w:r w:rsidRPr="00A91E26">
        <w:rPr>
          <w:rFonts w:ascii="Times New Roman" w:hAnsi="Times New Roman"/>
          <w:sz w:val="24"/>
          <w:szCs w:val="24"/>
          <w:lang w:val="de-DE"/>
        </w:rPr>
        <w:t>hohe Sichtbarkeit gemäß EN ISO 20471 (Klasse 3/3),</w:t>
      </w:r>
    </w:p>
    <w:p w:rsidR="00BE742C" w:rsidRPr="00B32F6B" w:rsidRDefault="00BE742C" w:rsidP="00BE742C">
      <w:pPr>
        <w:pStyle w:val="Listenabsatz"/>
        <w:numPr>
          <w:ilvl w:val="0"/>
          <w:numId w:val="2"/>
        </w:numPr>
        <w:tabs>
          <w:tab w:val="left" w:pos="567"/>
        </w:tabs>
        <w:spacing w:after="120" w:line="360" w:lineRule="auto"/>
        <w:ind w:left="567" w:hanging="207"/>
        <w:rPr>
          <w:rFonts w:ascii="Times New Roman" w:hAnsi="Times New Roman"/>
          <w:sz w:val="24"/>
          <w:szCs w:val="24"/>
          <w:lang w:val="de-DE"/>
        </w:rPr>
      </w:pPr>
      <w:r w:rsidRPr="00B32F6B">
        <w:rPr>
          <w:rFonts w:ascii="Times New Roman" w:hAnsi="Times New Roman"/>
          <w:sz w:val="24"/>
          <w:szCs w:val="24"/>
          <w:lang w:val="de-DE"/>
        </w:rPr>
        <w:t>Barriere gegen wässrige anorganische Chemikalien in geringer Konzentration (z. B. Dieselkraftstoff, Kühlflüssigkeit, Öl etc.)</w:t>
      </w:r>
      <w:r>
        <w:rPr>
          <w:rFonts w:ascii="Times New Roman" w:hAnsi="Times New Roman"/>
          <w:sz w:val="24"/>
          <w:szCs w:val="24"/>
          <w:lang w:val="de-DE"/>
        </w:rPr>
        <w:t xml:space="preserve"> sowie kleine Gefahrstoffpartikel</w:t>
      </w:r>
      <w:r w:rsidRPr="00B32F6B">
        <w:rPr>
          <w:rFonts w:ascii="Times New Roman" w:hAnsi="Times New Roman"/>
          <w:sz w:val="24"/>
          <w:szCs w:val="24"/>
          <w:lang w:val="de-DE"/>
        </w:rPr>
        <w:t>,</w:t>
      </w:r>
    </w:p>
    <w:p w:rsidR="00BE742C" w:rsidRDefault="00BE742C" w:rsidP="00BE742C">
      <w:pPr>
        <w:pStyle w:val="Listenabsatz"/>
        <w:numPr>
          <w:ilvl w:val="0"/>
          <w:numId w:val="2"/>
        </w:numPr>
        <w:tabs>
          <w:tab w:val="left" w:pos="567"/>
        </w:tabs>
        <w:spacing w:after="120" w:line="360" w:lineRule="auto"/>
        <w:ind w:left="567" w:hanging="207"/>
        <w:rPr>
          <w:rFonts w:ascii="Times New Roman" w:hAnsi="Times New Roman"/>
          <w:sz w:val="24"/>
          <w:szCs w:val="24"/>
          <w:lang w:val="de-DE"/>
        </w:rPr>
      </w:pPr>
      <w:r w:rsidRPr="007263B2">
        <w:rPr>
          <w:rFonts w:ascii="Times New Roman" w:hAnsi="Times New Roman"/>
          <w:sz w:val="24"/>
          <w:szCs w:val="24"/>
          <w:lang w:val="de-DE"/>
        </w:rPr>
        <w:t xml:space="preserve">Schutz gegen Infektionserreger, vor allem für Mitarbeiter, die </w:t>
      </w:r>
      <w:r>
        <w:rPr>
          <w:rFonts w:ascii="Times New Roman" w:hAnsi="Times New Roman"/>
          <w:sz w:val="24"/>
          <w:szCs w:val="24"/>
          <w:lang w:val="de-DE"/>
        </w:rPr>
        <w:t xml:space="preserve">Sichtprüfungen </w:t>
      </w:r>
      <w:r w:rsidRPr="007263B2">
        <w:rPr>
          <w:rFonts w:ascii="Times New Roman" w:hAnsi="Times New Roman"/>
          <w:sz w:val="24"/>
          <w:szCs w:val="24"/>
          <w:lang w:val="de-DE"/>
        </w:rPr>
        <w:t xml:space="preserve">nach Kollisionen mit Tieren oder Menschen </w:t>
      </w:r>
      <w:r>
        <w:rPr>
          <w:rFonts w:ascii="Times New Roman" w:hAnsi="Times New Roman"/>
          <w:sz w:val="24"/>
          <w:szCs w:val="24"/>
          <w:lang w:val="de-DE"/>
        </w:rPr>
        <w:t>durchführen,</w:t>
      </w:r>
    </w:p>
    <w:p w:rsidR="00BE742C" w:rsidRPr="007263B2" w:rsidRDefault="00BE742C" w:rsidP="00BE742C">
      <w:pPr>
        <w:pStyle w:val="Listenabsatz"/>
        <w:numPr>
          <w:ilvl w:val="0"/>
          <w:numId w:val="2"/>
        </w:numPr>
        <w:tabs>
          <w:tab w:val="left" w:pos="567"/>
        </w:tabs>
        <w:spacing w:after="120" w:line="360" w:lineRule="auto"/>
        <w:ind w:left="567" w:hanging="207"/>
        <w:rPr>
          <w:rFonts w:ascii="Times New Roman" w:hAnsi="Times New Roman"/>
          <w:sz w:val="24"/>
          <w:szCs w:val="24"/>
          <w:lang w:val="de-DE"/>
        </w:rPr>
      </w:pPr>
      <w:r>
        <w:rPr>
          <w:rFonts w:ascii="Times New Roman" w:hAnsi="Times New Roman"/>
          <w:sz w:val="24"/>
          <w:szCs w:val="24"/>
          <w:lang w:val="de-DE"/>
        </w:rPr>
        <w:t>keine Kapuze, die das Hörvermögen beeinträchtigt, um sicherzustellen, dass die Mitarbeiter herannahende Züge hören können.</w:t>
      </w:r>
    </w:p>
    <w:p w:rsidR="00CD0D5A" w:rsidRPr="00CD0D5A" w:rsidRDefault="00250110" w:rsidP="000F532B">
      <w:pPr>
        <w:spacing w:after="120" w:line="360" w:lineRule="auto"/>
        <w:rPr>
          <w:rFonts w:ascii="Times New Roman" w:hAnsi="Times New Roman"/>
          <w:sz w:val="24"/>
          <w:szCs w:val="24"/>
          <w:lang w:val="de-DE"/>
        </w:rPr>
      </w:pPr>
      <w:r>
        <w:rPr>
          <w:rFonts w:ascii="Times New Roman" w:hAnsi="Times New Roman"/>
          <w:sz w:val="24"/>
          <w:szCs w:val="24"/>
          <w:lang w:val="de-DE"/>
        </w:rPr>
        <w:t xml:space="preserve">Dazu </w:t>
      </w:r>
      <w:r w:rsidR="002B6665">
        <w:rPr>
          <w:rFonts w:ascii="Times New Roman" w:hAnsi="Times New Roman"/>
          <w:sz w:val="24"/>
          <w:szCs w:val="24"/>
          <w:lang w:val="de-DE"/>
        </w:rPr>
        <w:t xml:space="preserve">Lionel </w:t>
      </w:r>
      <w:proofErr w:type="spellStart"/>
      <w:r w:rsidR="002B6665">
        <w:rPr>
          <w:rFonts w:ascii="Times New Roman" w:hAnsi="Times New Roman"/>
          <w:sz w:val="24"/>
          <w:szCs w:val="24"/>
          <w:lang w:val="de-DE"/>
        </w:rPr>
        <w:t>Delport</w:t>
      </w:r>
      <w:proofErr w:type="spellEnd"/>
      <w:r w:rsidR="002B6665">
        <w:rPr>
          <w:rFonts w:ascii="Times New Roman" w:hAnsi="Times New Roman"/>
          <w:sz w:val="24"/>
          <w:szCs w:val="24"/>
          <w:lang w:val="de-DE"/>
        </w:rPr>
        <w:t xml:space="preserve"> von der Abteilung für Arbeitsschutz der Betriebsmittelverwaltung</w:t>
      </w:r>
      <w:r w:rsidR="003B023E">
        <w:rPr>
          <w:rFonts w:ascii="Times New Roman" w:hAnsi="Times New Roman"/>
          <w:sz w:val="24"/>
          <w:szCs w:val="24"/>
          <w:lang w:val="de-DE"/>
        </w:rPr>
        <w:t xml:space="preserve"> bei der SNCF</w:t>
      </w:r>
      <w:r>
        <w:rPr>
          <w:rFonts w:ascii="Times New Roman" w:hAnsi="Times New Roman"/>
          <w:sz w:val="24"/>
          <w:szCs w:val="24"/>
          <w:lang w:val="de-DE"/>
        </w:rPr>
        <w:t>: „</w:t>
      </w:r>
      <w:r w:rsidR="009B511F">
        <w:rPr>
          <w:rFonts w:ascii="Times New Roman" w:hAnsi="Times New Roman"/>
          <w:sz w:val="24"/>
          <w:szCs w:val="24"/>
          <w:lang w:val="de-DE"/>
        </w:rPr>
        <w:t>Wir haben uns</w:t>
      </w:r>
      <w:r>
        <w:rPr>
          <w:rFonts w:ascii="Times New Roman" w:hAnsi="Times New Roman"/>
          <w:sz w:val="24"/>
          <w:szCs w:val="24"/>
          <w:lang w:val="de-DE"/>
        </w:rPr>
        <w:t xml:space="preserve"> </w:t>
      </w:r>
      <w:r w:rsidR="0059503F">
        <w:rPr>
          <w:rFonts w:ascii="Times New Roman" w:hAnsi="Times New Roman"/>
          <w:sz w:val="24"/>
          <w:szCs w:val="24"/>
          <w:lang w:val="de-DE"/>
        </w:rPr>
        <w:t xml:space="preserve">an </w:t>
      </w:r>
      <w:r>
        <w:rPr>
          <w:rFonts w:ascii="Times New Roman" w:hAnsi="Times New Roman"/>
          <w:sz w:val="24"/>
          <w:szCs w:val="24"/>
          <w:lang w:val="de-DE"/>
        </w:rPr>
        <w:t xml:space="preserve">DuPont </w:t>
      </w:r>
      <w:proofErr w:type="spellStart"/>
      <w:r>
        <w:rPr>
          <w:rFonts w:ascii="Times New Roman" w:hAnsi="Times New Roman"/>
          <w:sz w:val="24"/>
          <w:szCs w:val="24"/>
          <w:lang w:val="de-DE"/>
        </w:rPr>
        <w:t>Protection</w:t>
      </w:r>
      <w:proofErr w:type="spellEnd"/>
      <w:r>
        <w:rPr>
          <w:rFonts w:ascii="Times New Roman" w:hAnsi="Times New Roman"/>
          <w:sz w:val="24"/>
          <w:szCs w:val="24"/>
          <w:lang w:val="de-DE"/>
        </w:rPr>
        <w:t xml:space="preserve"> Solutions gewandt</w:t>
      </w:r>
      <w:r w:rsidR="0059503F">
        <w:rPr>
          <w:rFonts w:ascii="Times New Roman" w:hAnsi="Times New Roman"/>
          <w:sz w:val="24"/>
          <w:szCs w:val="24"/>
          <w:lang w:val="de-DE"/>
        </w:rPr>
        <w:t>, weil wir alle Einweg-Schutzanzüge dort beziehen.</w:t>
      </w:r>
      <w:r w:rsidR="00BE11BF">
        <w:rPr>
          <w:rFonts w:ascii="Times New Roman" w:hAnsi="Times New Roman"/>
          <w:sz w:val="24"/>
          <w:szCs w:val="24"/>
          <w:lang w:val="de-DE"/>
        </w:rPr>
        <w:t xml:space="preserve"> </w:t>
      </w:r>
      <w:r w:rsidR="0059503F">
        <w:rPr>
          <w:rFonts w:ascii="Times New Roman" w:hAnsi="Times New Roman"/>
          <w:sz w:val="24"/>
          <w:szCs w:val="24"/>
          <w:lang w:val="de-DE"/>
        </w:rPr>
        <w:t xml:space="preserve">Zudem besitzt das Unternehmen eine hohe Dynamik und arbeitet sehr </w:t>
      </w:r>
      <w:r w:rsidR="00BE11BF">
        <w:rPr>
          <w:rFonts w:ascii="Times New Roman" w:hAnsi="Times New Roman"/>
          <w:sz w:val="24"/>
          <w:szCs w:val="24"/>
          <w:lang w:val="de-DE"/>
        </w:rPr>
        <w:t xml:space="preserve">kundenorientiert.“ </w:t>
      </w:r>
    </w:p>
    <w:p w:rsidR="000F532B" w:rsidRPr="001F1F79" w:rsidRDefault="000F532B" w:rsidP="000F532B">
      <w:pPr>
        <w:spacing w:after="120" w:line="360" w:lineRule="auto"/>
        <w:rPr>
          <w:rFonts w:ascii="Times New Roman" w:hAnsi="Times New Roman"/>
          <w:b/>
          <w:sz w:val="24"/>
          <w:szCs w:val="24"/>
          <w:lang w:val="de-DE"/>
        </w:rPr>
      </w:pPr>
      <w:proofErr w:type="spellStart"/>
      <w:r w:rsidRPr="001F1F79">
        <w:rPr>
          <w:rFonts w:ascii="Times New Roman" w:hAnsi="Times New Roman"/>
          <w:b/>
          <w:sz w:val="24"/>
          <w:szCs w:val="24"/>
          <w:lang w:val="de-DE"/>
        </w:rPr>
        <w:t>Tyvek</w:t>
      </w:r>
      <w:proofErr w:type="spellEnd"/>
      <w:r w:rsidRPr="001F1F79">
        <w:rPr>
          <w:rFonts w:ascii="Times New Roman" w:hAnsi="Times New Roman"/>
          <w:b/>
          <w:sz w:val="24"/>
          <w:szCs w:val="24"/>
          <w:vertAlign w:val="superscript"/>
          <w:lang w:val="de-DE"/>
        </w:rPr>
        <w:t>®</w:t>
      </w:r>
      <w:r w:rsidRPr="001F1F79">
        <w:rPr>
          <w:rFonts w:ascii="Times New Roman" w:hAnsi="Times New Roman"/>
          <w:b/>
          <w:sz w:val="24"/>
          <w:szCs w:val="24"/>
          <w:lang w:val="de-DE"/>
        </w:rPr>
        <w:t xml:space="preserve"> 500 HV: </w:t>
      </w:r>
      <w:r w:rsidR="001F1F79" w:rsidRPr="001F1F79">
        <w:rPr>
          <w:rFonts w:ascii="Times New Roman" w:hAnsi="Times New Roman"/>
          <w:b/>
          <w:sz w:val="24"/>
          <w:szCs w:val="24"/>
          <w:lang w:val="de-DE"/>
        </w:rPr>
        <w:t>Eine All-In-</w:t>
      </w:r>
      <w:proofErr w:type="spellStart"/>
      <w:r w:rsidR="001F1F79" w:rsidRPr="001F1F79">
        <w:rPr>
          <w:rFonts w:ascii="Times New Roman" w:hAnsi="Times New Roman"/>
          <w:b/>
          <w:sz w:val="24"/>
          <w:szCs w:val="24"/>
          <w:lang w:val="de-DE"/>
        </w:rPr>
        <w:t>One</w:t>
      </w:r>
      <w:proofErr w:type="spellEnd"/>
      <w:r w:rsidR="001F1F79" w:rsidRPr="001F1F79">
        <w:rPr>
          <w:rFonts w:ascii="Times New Roman" w:hAnsi="Times New Roman"/>
          <w:b/>
          <w:sz w:val="24"/>
          <w:szCs w:val="24"/>
          <w:lang w:val="de-DE"/>
        </w:rPr>
        <w:t>-Lösung</w:t>
      </w:r>
    </w:p>
    <w:p w:rsidR="00384843" w:rsidRDefault="00F76248" w:rsidP="00015FC2">
      <w:pPr>
        <w:spacing w:after="120" w:line="360" w:lineRule="auto"/>
        <w:rPr>
          <w:rFonts w:ascii="Times New Roman" w:hAnsi="Times New Roman"/>
          <w:sz w:val="24"/>
          <w:szCs w:val="24"/>
          <w:lang w:val="de-DE"/>
        </w:rPr>
      </w:pPr>
      <w:r>
        <w:rPr>
          <w:rFonts w:ascii="Times New Roman" w:hAnsi="Times New Roman"/>
          <w:sz w:val="24"/>
          <w:szCs w:val="24"/>
          <w:lang w:val="de-DE"/>
        </w:rPr>
        <w:t xml:space="preserve">Der neue </w:t>
      </w:r>
      <w:proofErr w:type="spellStart"/>
      <w:r>
        <w:rPr>
          <w:rFonts w:ascii="Times New Roman" w:hAnsi="Times New Roman"/>
          <w:sz w:val="24"/>
          <w:szCs w:val="24"/>
          <w:lang w:val="de-DE"/>
        </w:rPr>
        <w:t>Tyvek</w:t>
      </w:r>
      <w:proofErr w:type="spellEnd"/>
      <w:r w:rsidRPr="007B2F25">
        <w:rPr>
          <w:rFonts w:ascii="Times New Roman" w:hAnsi="Times New Roman"/>
          <w:sz w:val="24"/>
          <w:szCs w:val="24"/>
          <w:vertAlign w:val="superscript"/>
          <w:lang w:val="de-DE"/>
        </w:rPr>
        <w:t>®</w:t>
      </w:r>
      <w:r>
        <w:rPr>
          <w:rFonts w:ascii="Times New Roman" w:hAnsi="Times New Roman"/>
          <w:sz w:val="24"/>
          <w:szCs w:val="24"/>
          <w:lang w:val="de-DE"/>
        </w:rPr>
        <w:t xml:space="preserve"> 500 HV </w:t>
      </w:r>
      <w:r w:rsidR="00F30D14">
        <w:rPr>
          <w:rFonts w:ascii="Times New Roman" w:hAnsi="Times New Roman"/>
          <w:sz w:val="24"/>
          <w:szCs w:val="24"/>
          <w:lang w:val="de-DE"/>
        </w:rPr>
        <w:t xml:space="preserve">mit Kragen </w:t>
      </w:r>
      <w:r w:rsidR="000D18B0">
        <w:rPr>
          <w:rFonts w:ascii="Times New Roman" w:hAnsi="Times New Roman"/>
          <w:sz w:val="24"/>
          <w:szCs w:val="24"/>
          <w:lang w:val="de-DE"/>
        </w:rPr>
        <w:t>bietet</w:t>
      </w:r>
      <w:r w:rsidR="000D4972">
        <w:rPr>
          <w:rFonts w:ascii="Times New Roman" w:hAnsi="Times New Roman"/>
          <w:sz w:val="24"/>
          <w:szCs w:val="24"/>
          <w:lang w:val="de-DE"/>
        </w:rPr>
        <w:t xml:space="preserve"> nicht nur</w:t>
      </w:r>
      <w:r>
        <w:rPr>
          <w:rFonts w:ascii="Times New Roman" w:hAnsi="Times New Roman"/>
          <w:sz w:val="24"/>
          <w:szCs w:val="24"/>
          <w:lang w:val="de-DE"/>
        </w:rPr>
        <w:t xml:space="preserve"> alle </w:t>
      </w:r>
      <w:r w:rsidR="000D18B0">
        <w:rPr>
          <w:rFonts w:ascii="Times New Roman" w:hAnsi="Times New Roman"/>
          <w:sz w:val="24"/>
          <w:szCs w:val="24"/>
          <w:lang w:val="de-DE"/>
        </w:rPr>
        <w:t>Vorteile</w:t>
      </w:r>
      <w:r>
        <w:rPr>
          <w:rFonts w:ascii="Times New Roman" w:hAnsi="Times New Roman"/>
          <w:sz w:val="24"/>
          <w:szCs w:val="24"/>
          <w:lang w:val="de-DE"/>
        </w:rPr>
        <w:t xml:space="preserve"> eines </w:t>
      </w:r>
      <w:proofErr w:type="spellStart"/>
      <w:r>
        <w:rPr>
          <w:rFonts w:ascii="Times New Roman" w:hAnsi="Times New Roman"/>
          <w:sz w:val="24"/>
          <w:szCs w:val="24"/>
          <w:lang w:val="de-DE"/>
        </w:rPr>
        <w:t>Tyvek</w:t>
      </w:r>
      <w:proofErr w:type="spellEnd"/>
      <w:r w:rsidRPr="00D51177">
        <w:rPr>
          <w:rFonts w:ascii="Times New Roman" w:hAnsi="Times New Roman"/>
          <w:sz w:val="24"/>
          <w:szCs w:val="24"/>
          <w:vertAlign w:val="superscript"/>
          <w:lang w:val="de-DE"/>
        </w:rPr>
        <w:t>®</w:t>
      </w:r>
      <w:r>
        <w:rPr>
          <w:rFonts w:ascii="Times New Roman" w:hAnsi="Times New Roman"/>
          <w:sz w:val="24"/>
          <w:szCs w:val="24"/>
          <w:lang w:val="de-DE"/>
        </w:rPr>
        <w:t xml:space="preserve"> Schutzanzugs mit begrenzter Einsatzdauer</w:t>
      </w:r>
      <w:r w:rsidR="00015FC2">
        <w:rPr>
          <w:rFonts w:ascii="Times New Roman" w:hAnsi="Times New Roman"/>
          <w:sz w:val="24"/>
          <w:szCs w:val="24"/>
          <w:lang w:val="de-DE"/>
        </w:rPr>
        <w:t xml:space="preserve"> wie geringes Gewicht, hoher Tragekomfort, hohe Reißfestigkeit und ergonomischer Schnitt</w:t>
      </w:r>
      <w:r w:rsidR="000D4972">
        <w:rPr>
          <w:rFonts w:ascii="Times New Roman" w:hAnsi="Times New Roman"/>
          <w:sz w:val="24"/>
          <w:szCs w:val="24"/>
          <w:lang w:val="de-DE"/>
        </w:rPr>
        <w:t>, sondern</w:t>
      </w:r>
      <w:r>
        <w:rPr>
          <w:rFonts w:ascii="Times New Roman" w:hAnsi="Times New Roman"/>
          <w:sz w:val="24"/>
          <w:szCs w:val="24"/>
          <w:lang w:val="de-DE"/>
        </w:rPr>
        <w:t xml:space="preserve"> erfüllt </w:t>
      </w:r>
      <w:r w:rsidR="000D4972">
        <w:rPr>
          <w:rFonts w:ascii="Times New Roman" w:hAnsi="Times New Roman"/>
          <w:sz w:val="24"/>
          <w:szCs w:val="24"/>
          <w:lang w:val="de-DE"/>
        </w:rPr>
        <w:t xml:space="preserve">auch </w:t>
      </w:r>
      <w:r w:rsidR="00251EF9">
        <w:rPr>
          <w:rFonts w:ascii="Times New Roman" w:hAnsi="Times New Roman"/>
          <w:sz w:val="24"/>
          <w:szCs w:val="24"/>
          <w:lang w:val="de-DE"/>
        </w:rPr>
        <w:t>die oben genannten</w:t>
      </w:r>
      <w:r>
        <w:rPr>
          <w:rFonts w:ascii="Times New Roman" w:hAnsi="Times New Roman"/>
          <w:sz w:val="24"/>
          <w:szCs w:val="24"/>
          <w:lang w:val="de-DE"/>
        </w:rPr>
        <w:t xml:space="preserve"> Anforderungen.</w:t>
      </w:r>
      <w:r w:rsidR="00352DB6">
        <w:rPr>
          <w:rFonts w:ascii="Times New Roman" w:hAnsi="Times New Roman"/>
          <w:sz w:val="24"/>
          <w:szCs w:val="24"/>
          <w:lang w:val="de-DE"/>
        </w:rPr>
        <w:t xml:space="preserve"> </w:t>
      </w:r>
      <w:r w:rsidR="003D16D3">
        <w:rPr>
          <w:rFonts w:ascii="Times New Roman" w:hAnsi="Times New Roman"/>
          <w:sz w:val="24"/>
          <w:szCs w:val="24"/>
          <w:lang w:val="de-DE"/>
        </w:rPr>
        <w:t xml:space="preserve">Dazu </w:t>
      </w:r>
      <w:proofErr w:type="spellStart"/>
      <w:r w:rsidR="003D16D3">
        <w:rPr>
          <w:rFonts w:ascii="Times New Roman" w:hAnsi="Times New Roman"/>
          <w:sz w:val="24"/>
          <w:szCs w:val="24"/>
          <w:lang w:val="de-DE"/>
        </w:rPr>
        <w:t>Delport</w:t>
      </w:r>
      <w:proofErr w:type="spellEnd"/>
      <w:r w:rsidR="003D16D3">
        <w:rPr>
          <w:rFonts w:ascii="Times New Roman" w:hAnsi="Times New Roman"/>
          <w:sz w:val="24"/>
          <w:szCs w:val="24"/>
          <w:lang w:val="de-DE"/>
        </w:rPr>
        <w:t xml:space="preserve">: </w:t>
      </w:r>
      <w:r w:rsidR="004900E1">
        <w:rPr>
          <w:rFonts w:ascii="Times New Roman" w:hAnsi="Times New Roman"/>
          <w:sz w:val="24"/>
          <w:szCs w:val="24"/>
          <w:lang w:val="de-DE"/>
        </w:rPr>
        <w:t>„</w:t>
      </w:r>
      <w:r w:rsidR="0058167B">
        <w:rPr>
          <w:rFonts w:ascii="Times New Roman" w:hAnsi="Times New Roman"/>
          <w:sz w:val="24"/>
          <w:szCs w:val="24"/>
          <w:lang w:val="de-DE"/>
        </w:rPr>
        <w:t xml:space="preserve">Er ist persönliche Schutzausrüstung und </w:t>
      </w:r>
      <w:r w:rsidR="007329FE">
        <w:rPr>
          <w:rFonts w:ascii="Times New Roman" w:hAnsi="Times New Roman"/>
          <w:sz w:val="24"/>
          <w:szCs w:val="24"/>
          <w:lang w:val="de-DE"/>
        </w:rPr>
        <w:t xml:space="preserve">optische </w:t>
      </w:r>
      <w:r w:rsidR="0058167B">
        <w:rPr>
          <w:rFonts w:ascii="Times New Roman" w:hAnsi="Times New Roman"/>
          <w:sz w:val="24"/>
          <w:szCs w:val="24"/>
          <w:lang w:val="de-DE"/>
        </w:rPr>
        <w:t xml:space="preserve">Signalausrüstung </w:t>
      </w:r>
      <w:r w:rsidR="007329FE">
        <w:rPr>
          <w:rFonts w:ascii="Times New Roman" w:hAnsi="Times New Roman"/>
          <w:sz w:val="24"/>
          <w:szCs w:val="24"/>
          <w:lang w:val="de-DE"/>
        </w:rPr>
        <w:t>zugleich. Er schützt unsere Wartungsmitarbeit</w:t>
      </w:r>
      <w:r w:rsidR="00BE3825">
        <w:rPr>
          <w:rFonts w:ascii="Times New Roman" w:hAnsi="Times New Roman"/>
          <w:sz w:val="24"/>
          <w:szCs w:val="24"/>
          <w:lang w:val="de-DE"/>
        </w:rPr>
        <w:t>er gegen chemische Gefährdungen sowie</w:t>
      </w:r>
      <w:r w:rsidR="007329FE">
        <w:rPr>
          <w:rFonts w:ascii="Times New Roman" w:hAnsi="Times New Roman"/>
          <w:sz w:val="24"/>
          <w:szCs w:val="24"/>
          <w:lang w:val="de-DE"/>
        </w:rPr>
        <w:t xml:space="preserve"> Schmutz und sorgt dafür, dass </w:t>
      </w:r>
      <w:r w:rsidR="00384843">
        <w:rPr>
          <w:rFonts w:ascii="Times New Roman" w:hAnsi="Times New Roman"/>
          <w:sz w:val="24"/>
          <w:szCs w:val="24"/>
          <w:lang w:val="de-DE"/>
        </w:rPr>
        <w:t xml:space="preserve">sie </w:t>
      </w:r>
      <w:r w:rsidR="00C45802">
        <w:rPr>
          <w:rFonts w:ascii="Times New Roman" w:hAnsi="Times New Roman"/>
          <w:sz w:val="24"/>
          <w:szCs w:val="24"/>
          <w:lang w:val="de-DE"/>
        </w:rPr>
        <w:t>bei dunklen und gefährlichen Arbeitsumgebungen oder bei schlechter Witterung von den Lokführern nicht übersehen werden.</w:t>
      </w:r>
      <w:r w:rsidR="0044078A">
        <w:rPr>
          <w:rFonts w:ascii="Times New Roman" w:hAnsi="Times New Roman"/>
          <w:sz w:val="24"/>
          <w:szCs w:val="24"/>
          <w:lang w:val="de-DE"/>
        </w:rPr>
        <w:t xml:space="preserve"> Und d</w:t>
      </w:r>
      <w:r w:rsidR="00834705">
        <w:rPr>
          <w:rFonts w:ascii="Times New Roman" w:hAnsi="Times New Roman"/>
          <w:sz w:val="24"/>
          <w:szCs w:val="24"/>
          <w:lang w:val="de-DE"/>
        </w:rPr>
        <w:t xml:space="preserve">a sie als Schutzkleidung mit begrenzter Einsatzdauer ausgeführt sind, </w:t>
      </w:r>
      <w:r w:rsidR="002C4A08">
        <w:rPr>
          <w:rFonts w:ascii="Times New Roman" w:hAnsi="Times New Roman"/>
          <w:sz w:val="24"/>
          <w:szCs w:val="24"/>
          <w:lang w:val="de-DE"/>
        </w:rPr>
        <w:t>werden sie nach Verwendung nicht gewaschen</w:t>
      </w:r>
      <w:r w:rsidR="00E221F1">
        <w:rPr>
          <w:rFonts w:ascii="Times New Roman" w:hAnsi="Times New Roman"/>
          <w:sz w:val="24"/>
          <w:szCs w:val="24"/>
          <w:lang w:val="de-DE"/>
        </w:rPr>
        <w:t xml:space="preserve"> und behalten somit ihre fluoreszierenden und reflektierenden Eigenschaften über die gesamte Einsatzdauer bis zur Entsorgung. Herkömmliche wiederverwendbare Warnbekleidung </w:t>
      </w:r>
      <w:r w:rsidR="003C6B45">
        <w:rPr>
          <w:rFonts w:ascii="Times New Roman" w:hAnsi="Times New Roman"/>
          <w:sz w:val="24"/>
          <w:szCs w:val="24"/>
          <w:lang w:val="de-DE"/>
        </w:rPr>
        <w:t>kann diese Eigenschaften auf Grund wiederholter Waschgänge im Laufe der Zeit verlieren.“</w:t>
      </w:r>
    </w:p>
    <w:p w:rsidR="005F3E64" w:rsidRDefault="0001737F" w:rsidP="000F532B">
      <w:pPr>
        <w:spacing w:after="120" w:line="360" w:lineRule="auto"/>
        <w:rPr>
          <w:rFonts w:ascii="Times New Roman" w:hAnsi="Times New Roman"/>
          <w:sz w:val="24"/>
          <w:szCs w:val="24"/>
          <w:lang w:val="de-DE"/>
        </w:rPr>
      </w:pPr>
      <w:r>
        <w:rPr>
          <w:rFonts w:ascii="Times New Roman" w:hAnsi="Times New Roman"/>
          <w:sz w:val="24"/>
          <w:szCs w:val="24"/>
          <w:lang w:val="de-DE"/>
        </w:rPr>
        <w:t xml:space="preserve">Der </w:t>
      </w:r>
      <w:proofErr w:type="spellStart"/>
      <w:r>
        <w:rPr>
          <w:rFonts w:ascii="Times New Roman" w:hAnsi="Times New Roman"/>
          <w:sz w:val="24"/>
          <w:szCs w:val="24"/>
          <w:lang w:val="de-DE"/>
        </w:rPr>
        <w:t>Tyvek</w:t>
      </w:r>
      <w:proofErr w:type="spellEnd"/>
      <w:r w:rsidRPr="006F0A1A">
        <w:rPr>
          <w:rFonts w:ascii="Times New Roman" w:hAnsi="Times New Roman"/>
          <w:sz w:val="24"/>
          <w:szCs w:val="24"/>
          <w:vertAlign w:val="superscript"/>
          <w:lang w:val="de-DE"/>
        </w:rPr>
        <w:t>®</w:t>
      </w:r>
      <w:r>
        <w:rPr>
          <w:rFonts w:ascii="Times New Roman" w:hAnsi="Times New Roman"/>
          <w:sz w:val="24"/>
          <w:szCs w:val="24"/>
          <w:lang w:val="de-DE"/>
        </w:rPr>
        <w:t xml:space="preserve"> 500 HV wird über der normalen Arbeitskleidung getragen und </w:t>
      </w:r>
      <w:r w:rsidR="006E4C2F">
        <w:rPr>
          <w:rFonts w:ascii="Times New Roman" w:hAnsi="Times New Roman"/>
          <w:sz w:val="24"/>
          <w:szCs w:val="24"/>
          <w:lang w:val="de-DE"/>
        </w:rPr>
        <w:t xml:space="preserve">„ergänzt sich perfekt mit dieser“, so </w:t>
      </w:r>
      <w:proofErr w:type="spellStart"/>
      <w:r w:rsidR="006E4C2F">
        <w:rPr>
          <w:rFonts w:ascii="Times New Roman" w:hAnsi="Times New Roman"/>
          <w:sz w:val="24"/>
          <w:szCs w:val="24"/>
          <w:lang w:val="de-DE"/>
        </w:rPr>
        <w:t>Delport</w:t>
      </w:r>
      <w:proofErr w:type="spellEnd"/>
      <w:r w:rsidR="006E4C2F">
        <w:rPr>
          <w:rFonts w:ascii="Times New Roman" w:hAnsi="Times New Roman"/>
          <w:sz w:val="24"/>
          <w:szCs w:val="24"/>
          <w:lang w:val="de-DE"/>
        </w:rPr>
        <w:t xml:space="preserve"> weiter. </w:t>
      </w:r>
      <w:r w:rsidR="00FC01CD">
        <w:rPr>
          <w:rFonts w:ascii="Times New Roman" w:hAnsi="Times New Roman"/>
          <w:sz w:val="24"/>
          <w:szCs w:val="24"/>
          <w:lang w:val="de-DE"/>
        </w:rPr>
        <w:t>„</w:t>
      </w:r>
      <w:r w:rsidR="006E4C2F">
        <w:rPr>
          <w:rFonts w:ascii="Times New Roman" w:hAnsi="Times New Roman"/>
          <w:sz w:val="24"/>
          <w:szCs w:val="24"/>
          <w:lang w:val="de-DE"/>
        </w:rPr>
        <w:t>Er</w:t>
      </w:r>
      <w:r w:rsidR="00A231AE">
        <w:rPr>
          <w:rFonts w:ascii="Times New Roman" w:hAnsi="Times New Roman"/>
          <w:sz w:val="24"/>
          <w:szCs w:val="24"/>
          <w:lang w:val="de-DE"/>
        </w:rPr>
        <w:t xml:space="preserve"> verhindert eine Verschmutzung der textilen </w:t>
      </w:r>
      <w:r w:rsidR="006E4C2F">
        <w:rPr>
          <w:rFonts w:ascii="Times New Roman" w:hAnsi="Times New Roman"/>
          <w:sz w:val="24"/>
          <w:szCs w:val="24"/>
          <w:lang w:val="de-DE"/>
        </w:rPr>
        <w:t>B</w:t>
      </w:r>
      <w:r w:rsidR="00A231AE">
        <w:rPr>
          <w:rFonts w:ascii="Times New Roman" w:hAnsi="Times New Roman"/>
          <w:sz w:val="24"/>
          <w:szCs w:val="24"/>
          <w:lang w:val="de-DE"/>
        </w:rPr>
        <w:t xml:space="preserve">ekleidung, vor allem bei Wartungsarbeiten, bei denen </w:t>
      </w:r>
      <w:r w:rsidR="00121F75">
        <w:rPr>
          <w:rFonts w:ascii="Times New Roman" w:hAnsi="Times New Roman"/>
          <w:sz w:val="24"/>
          <w:szCs w:val="24"/>
          <w:lang w:val="de-DE"/>
        </w:rPr>
        <w:t xml:space="preserve">sich </w:t>
      </w:r>
      <w:r w:rsidR="00A231AE">
        <w:rPr>
          <w:rFonts w:ascii="Times New Roman" w:hAnsi="Times New Roman"/>
          <w:sz w:val="24"/>
          <w:szCs w:val="24"/>
          <w:lang w:val="de-DE"/>
        </w:rPr>
        <w:t xml:space="preserve">die Mitarbeiter </w:t>
      </w:r>
      <w:r w:rsidR="00121F75">
        <w:rPr>
          <w:rFonts w:ascii="Times New Roman" w:hAnsi="Times New Roman"/>
          <w:sz w:val="24"/>
          <w:szCs w:val="24"/>
          <w:lang w:val="de-DE"/>
        </w:rPr>
        <w:t>zwischen den Zügen bewegen und so mit aggressive</w:t>
      </w:r>
      <w:r w:rsidR="00227EC5">
        <w:rPr>
          <w:rFonts w:ascii="Times New Roman" w:hAnsi="Times New Roman"/>
          <w:sz w:val="24"/>
          <w:szCs w:val="24"/>
          <w:lang w:val="de-DE"/>
        </w:rPr>
        <w:t>m</w:t>
      </w:r>
      <w:r w:rsidR="00121F75">
        <w:rPr>
          <w:rFonts w:ascii="Times New Roman" w:hAnsi="Times New Roman"/>
          <w:sz w:val="24"/>
          <w:szCs w:val="24"/>
          <w:lang w:val="de-DE"/>
        </w:rPr>
        <w:t xml:space="preserve"> Graphit</w:t>
      </w:r>
      <w:r w:rsidR="00227EC5">
        <w:rPr>
          <w:rFonts w:ascii="Times New Roman" w:hAnsi="Times New Roman"/>
          <w:sz w:val="24"/>
          <w:szCs w:val="24"/>
          <w:lang w:val="de-DE"/>
        </w:rPr>
        <w:t>fett</w:t>
      </w:r>
      <w:r w:rsidR="00121F75">
        <w:rPr>
          <w:rFonts w:ascii="Times New Roman" w:hAnsi="Times New Roman"/>
          <w:sz w:val="24"/>
          <w:szCs w:val="24"/>
          <w:lang w:val="de-DE"/>
        </w:rPr>
        <w:t xml:space="preserve"> in Berührung kommen können.“</w:t>
      </w:r>
      <w:r w:rsidR="006E3C10">
        <w:rPr>
          <w:rFonts w:ascii="Times New Roman" w:hAnsi="Times New Roman"/>
          <w:sz w:val="24"/>
          <w:szCs w:val="24"/>
          <w:lang w:val="de-DE"/>
        </w:rPr>
        <w:t xml:space="preserve"> Dies </w:t>
      </w:r>
      <w:r w:rsidR="005F3E64">
        <w:rPr>
          <w:rFonts w:ascii="Times New Roman" w:hAnsi="Times New Roman"/>
          <w:sz w:val="24"/>
          <w:szCs w:val="24"/>
          <w:lang w:val="de-DE"/>
        </w:rPr>
        <w:t>ermöglicht auf lange Sicht eine deutliche Kostensenkung für das Unternehmen, denn die textile Warnbekleidung muss nun seltener gewaschen werden.</w:t>
      </w:r>
    </w:p>
    <w:p w:rsidR="00FE64B4" w:rsidRDefault="00FE64B4" w:rsidP="000F532B">
      <w:pPr>
        <w:spacing w:after="120" w:line="360" w:lineRule="auto"/>
        <w:rPr>
          <w:rFonts w:ascii="Times New Roman" w:hAnsi="Times New Roman"/>
          <w:sz w:val="24"/>
          <w:szCs w:val="24"/>
          <w:lang w:val="de-DE"/>
        </w:rPr>
      </w:pPr>
      <w:r>
        <w:rPr>
          <w:rFonts w:ascii="Times New Roman" w:hAnsi="Times New Roman"/>
          <w:sz w:val="24"/>
          <w:szCs w:val="24"/>
          <w:lang w:val="de-DE"/>
        </w:rPr>
        <w:lastRenderedPageBreak/>
        <w:t xml:space="preserve">Darüber hinaus </w:t>
      </w:r>
      <w:r w:rsidR="00A7599A">
        <w:rPr>
          <w:rFonts w:ascii="Times New Roman" w:hAnsi="Times New Roman"/>
          <w:sz w:val="24"/>
          <w:szCs w:val="24"/>
          <w:lang w:val="de-DE"/>
        </w:rPr>
        <w:t>sieht</w:t>
      </w:r>
      <w:r>
        <w:rPr>
          <w:rFonts w:ascii="Times New Roman" w:hAnsi="Times New Roman"/>
          <w:sz w:val="24"/>
          <w:szCs w:val="24"/>
          <w:lang w:val="de-DE"/>
        </w:rPr>
        <w:t xml:space="preserve"> </w:t>
      </w:r>
      <w:proofErr w:type="spellStart"/>
      <w:r>
        <w:rPr>
          <w:rFonts w:ascii="Times New Roman" w:hAnsi="Times New Roman"/>
          <w:sz w:val="24"/>
          <w:szCs w:val="24"/>
          <w:lang w:val="de-DE"/>
        </w:rPr>
        <w:t>Delport</w:t>
      </w:r>
      <w:proofErr w:type="spellEnd"/>
      <w:r>
        <w:rPr>
          <w:rFonts w:ascii="Times New Roman" w:hAnsi="Times New Roman"/>
          <w:sz w:val="24"/>
          <w:szCs w:val="24"/>
          <w:lang w:val="de-DE"/>
        </w:rPr>
        <w:t xml:space="preserve"> </w:t>
      </w:r>
      <w:r w:rsidR="00107234">
        <w:rPr>
          <w:rFonts w:ascii="Times New Roman" w:hAnsi="Times New Roman"/>
          <w:sz w:val="24"/>
          <w:szCs w:val="24"/>
          <w:lang w:val="de-DE"/>
        </w:rPr>
        <w:t>zahlreiche weitere</w:t>
      </w:r>
      <w:r>
        <w:rPr>
          <w:rFonts w:ascii="Times New Roman" w:hAnsi="Times New Roman"/>
          <w:sz w:val="24"/>
          <w:szCs w:val="24"/>
          <w:lang w:val="de-DE"/>
        </w:rPr>
        <w:t xml:space="preserve"> Einsatzmöglichkeiten, bei denen </w:t>
      </w:r>
      <w:proofErr w:type="spellStart"/>
      <w:r>
        <w:rPr>
          <w:rFonts w:ascii="Times New Roman" w:hAnsi="Times New Roman"/>
          <w:sz w:val="24"/>
          <w:szCs w:val="24"/>
          <w:lang w:val="de-DE"/>
        </w:rPr>
        <w:t>Tyvek</w:t>
      </w:r>
      <w:proofErr w:type="spellEnd"/>
      <w:r w:rsidRPr="00634FFE">
        <w:rPr>
          <w:rFonts w:ascii="Times New Roman" w:hAnsi="Times New Roman"/>
          <w:sz w:val="24"/>
          <w:szCs w:val="24"/>
          <w:vertAlign w:val="superscript"/>
          <w:lang w:val="de-DE"/>
        </w:rPr>
        <w:t>®</w:t>
      </w:r>
      <w:r>
        <w:rPr>
          <w:rFonts w:ascii="Times New Roman" w:hAnsi="Times New Roman"/>
          <w:sz w:val="24"/>
          <w:szCs w:val="24"/>
          <w:lang w:val="de-DE"/>
        </w:rPr>
        <w:t xml:space="preserve"> 500 HV Schutzanzüge klare Vorteile bieten, z. B. „in Stand-by-Fahrzeugen, </w:t>
      </w:r>
      <w:r w:rsidR="00A07CB4">
        <w:rPr>
          <w:rFonts w:ascii="Times New Roman" w:hAnsi="Times New Roman"/>
          <w:sz w:val="24"/>
          <w:szCs w:val="24"/>
          <w:lang w:val="de-DE"/>
        </w:rPr>
        <w:t xml:space="preserve">als Schutzkleidung für Lokführer bei Unfällen oder für Mitarbeiter, die draußen Reparaturen durchführen. </w:t>
      </w:r>
      <w:r w:rsidR="00C9047D">
        <w:rPr>
          <w:rFonts w:ascii="Times New Roman" w:hAnsi="Times New Roman"/>
          <w:sz w:val="24"/>
          <w:szCs w:val="24"/>
          <w:lang w:val="de-DE"/>
        </w:rPr>
        <w:t>Die Vorhaltung von Schutzanzügen mit begrenzter Einsatzdauer in den Einsatzfahrzeugen ist auf alle Fälle eine sichere Lösung, um unsere Mitarbeiter vor den Gefahren des Eisenbahnverkehrs und Schmutz zu schützen, wenn sie direkt an der Strecke arbeiten müssen.“</w:t>
      </w:r>
    </w:p>
    <w:p w:rsidR="00FE2DB3" w:rsidRPr="00517414" w:rsidRDefault="002D64CB" w:rsidP="000F532B">
      <w:pPr>
        <w:spacing w:after="120" w:line="360" w:lineRule="auto"/>
        <w:rPr>
          <w:rFonts w:ascii="Times New Roman" w:hAnsi="Times New Roman"/>
          <w:sz w:val="18"/>
          <w:szCs w:val="18"/>
          <w:lang w:val="de-DE"/>
        </w:rPr>
      </w:pPr>
      <w:r w:rsidRPr="00517414">
        <w:rPr>
          <w:rFonts w:ascii="Times New Roman" w:hAnsi="Times New Roman"/>
          <w:sz w:val="18"/>
          <w:szCs w:val="18"/>
          <w:lang w:val="de-DE"/>
        </w:rPr>
        <w:t>Weitere Informationen auf ipp.dupont.com oder</w:t>
      </w:r>
      <w:r w:rsidR="007D71EA">
        <w:rPr>
          <w:rFonts w:ascii="Times New Roman" w:hAnsi="Times New Roman"/>
          <w:sz w:val="18"/>
          <w:szCs w:val="18"/>
          <w:lang w:val="de-DE"/>
        </w:rPr>
        <w:t xml:space="preserve"> </w:t>
      </w:r>
      <w:r w:rsidRPr="00517414">
        <w:rPr>
          <w:rFonts w:ascii="Times New Roman" w:hAnsi="Times New Roman"/>
          <w:sz w:val="18"/>
          <w:szCs w:val="18"/>
          <w:lang w:val="de-DE"/>
        </w:rPr>
        <w:t>safespec.dupont.de</w:t>
      </w:r>
      <w:r w:rsidR="000F532B" w:rsidRPr="00517414">
        <w:rPr>
          <w:rFonts w:ascii="Times New Roman" w:hAnsi="Times New Roman"/>
          <w:sz w:val="18"/>
          <w:szCs w:val="18"/>
          <w:lang w:val="de-DE"/>
        </w:rPr>
        <w:t>.</w:t>
      </w:r>
    </w:p>
    <w:p w:rsidR="00E376DF" w:rsidRPr="00E376DF" w:rsidRDefault="00E376DF" w:rsidP="00E376DF">
      <w:pPr>
        <w:spacing w:after="0"/>
        <w:rPr>
          <w:rFonts w:ascii="Times New Roman" w:hAnsi="Times New Roman"/>
          <w:b/>
          <w:sz w:val="18"/>
          <w:szCs w:val="18"/>
          <w:lang w:val="de-DE"/>
        </w:rPr>
      </w:pPr>
      <w:r w:rsidRPr="00E376DF">
        <w:rPr>
          <w:rFonts w:ascii="Times New Roman" w:hAnsi="Times New Roman"/>
          <w:b/>
          <w:sz w:val="18"/>
          <w:szCs w:val="18"/>
          <w:lang w:val="de-DE"/>
        </w:rPr>
        <w:t xml:space="preserve">Über </w:t>
      </w:r>
      <w:proofErr w:type="spellStart"/>
      <w:r w:rsidRPr="00E376DF">
        <w:rPr>
          <w:rFonts w:ascii="Times New Roman" w:hAnsi="Times New Roman"/>
          <w:b/>
          <w:sz w:val="18"/>
          <w:szCs w:val="18"/>
          <w:lang w:val="de-DE"/>
        </w:rPr>
        <w:t>DowDuPont</w:t>
      </w:r>
      <w:proofErr w:type="spellEnd"/>
    </w:p>
    <w:p w:rsidR="00E376DF" w:rsidRDefault="00E376DF" w:rsidP="00E376DF">
      <w:pPr>
        <w:spacing w:after="0"/>
        <w:rPr>
          <w:rFonts w:ascii="Times New Roman" w:hAnsi="Times New Roman"/>
          <w:sz w:val="18"/>
          <w:szCs w:val="18"/>
          <w:lang w:val="de-DE"/>
        </w:rPr>
      </w:pPr>
      <w:proofErr w:type="spellStart"/>
      <w:r w:rsidRPr="00E376DF">
        <w:rPr>
          <w:rFonts w:ascii="Times New Roman" w:hAnsi="Times New Roman"/>
          <w:sz w:val="18"/>
          <w:szCs w:val="18"/>
          <w:lang w:val="de-DE"/>
        </w:rPr>
        <w:t>DowDuPont</w:t>
      </w:r>
      <w:proofErr w:type="spellEnd"/>
      <w:r w:rsidRPr="00E376DF">
        <w:rPr>
          <w:rFonts w:ascii="Times New Roman" w:hAnsi="Times New Roman"/>
          <w:sz w:val="18"/>
          <w:szCs w:val="18"/>
          <w:lang w:val="de-DE"/>
        </w:rPr>
        <w:t xml:space="preserve"> (NYSE: DWDP) ist eine Holdinggesellschaft, bestehend aus The Dow Chemical Company und DuPont, mit dem Ziel, starke, unabhängige, öffentlich gehandelte Unternehmen in den Bereichen </w:t>
      </w:r>
      <w:proofErr w:type="spellStart"/>
      <w:r w:rsidRPr="00E376DF">
        <w:rPr>
          <w:rFonts w:ascii="Times New Roman" w:hAnsi="Times New Roman"/>
          <w:sz w:val="18"/>
          <w:szCs w:val="18"/>
          <w:lang w:val="de-DE"/>
        </w:rPr>
        <w:t>Agriculture</w:t>
      </w:r>
      <w:proofErr w:type="spellEnd"/>
      <w:r w:rsidRPr="00E376DF">
        <w:rPr>
          <w:rFonts w:ascii="Times New Roman" w:hAnsi="Times New Roman"/>
          <w:sz w:val="18"/>
          <w:szCs w:val="18"/>
          <w:lang w:val="de-DE"/>
        </w:rPr>
        <w:t xml:space="preserve">, Materials Science und Specialty Products ins Leben zu rufen, die sich durch produktive, wissenschaftsbasierte Innovationen zu Vorreitern ihrer jeweiligen Branchen entwickeln, um die Bedürfnisse ihrer Kunden zu erfüllen und globale Herausforderungen zu bewältigen. Weitere Informationen finden Sie unter </w:t>
      </w:r>
      <w:hyperlink r:id="rId9" w:history="1">
        <w:r w:rsidRPr="00E376DF">
          <w:rPr>
            <w:rStyle w:val="Hyperlink"/>
            <w:rFonts w:ascii="Times New Roman" w:hAnsi="Times New Roman"/>
            <w:sz w:val="18"/>
            <w:szCs w:val="18"/>
            <w:lang w:val="de-DE"/>
          </w:rPr>
          <w:t>www.dow-dupont.com</w:t>
        </w:r>
      </w:hyperlink>
      <w:r w:rsidRPr="00E376DF">
        <w:rPr>
          <w:rFonts w:ascii="Times New Roman" w:hAnsi="Times New Roman"/>
          <w:sz w:val="18"/>
          <w:szCs w:val="18"/>
          <w:lang w:val="de-DE"/>
        </w:rPr>
        <w:t>.</w:t>
      </w:r>
    </w:p>
    <w:p w:rsidR="000462DF" w:rsidRPr="00E376DF" w:rsidRDefault="000462DF" w:rsidP="00E376DF">
      <w:pPr>
        <w:spacing w:after="0"/>
        <w:rPr>
          <w:rFonts w:ascii="Times New Roman" w:hAnsi="Times New Roman"/>
          <w:sz w:val="18"/>
          <w:szCs w:val="18"/>
          <w:lang w:val="de-DE"/>
        </w:rPr>
      </w:pPr>
    </w:p>
    <w:p w:rsidR="00E376DF" w:rsidRPr="005F32FD" w:rsidRDefault="00E376DF" w:rsidP="00E376DF">
      <w:pPr>
        <w:spacing w:after="0" w:line="240" w:lineRule="auto"/>
        <w:jc w:val="both"/>
        <w:rPr>
          <w:rFonts w:ascii="Times New Roman" w:hAnsi="Times New Roman"/>
          <w:b/>
          <w:bCs/>
          <w:sz w:val="18"/>
          <w:szCs w:val="18"/>
          <w:lang w:val="de-DE"/>
        </w:rPr>
      </w:pPr>
      <w:r w:rsidRPr="005F32FD">
        <w:rPr>
          <w:rFonts w:ascii="Times New Roman" w:hAnsi="Times New Roman"/>
          <w:b/>
          <w:bCs/>
          <w:sz w:val="18"/>
          <w:szCs w:val="18"/>
          <w:lang w:val="de-DE"/>
        </w:rPr>
        <w:t xml:space="preserve">Über </w:t>
      </w:r>
      <w:proofErr w:type="spellStart"/>
      <w:r w:rsidRPr="005F32FD">
        <w:rPr>
          <w:rFonts w:ascii="Times New Roman" w:hAnsi="Times New Roman"/>
          <w:b/>
          <w:bCs/>
          <w:sz w:val="18"/>
          <w:szCs w:val="18"/>
          <w:lang w:val="de-DE"/>
        </w:rPr>
        <w:t>DowDuPont</w:t>
      </w:r>
      <w:proofErr w:type="spellEnd"/>
      <w:r w:rsidRPr="005F32FD">
        <w:rPr>
          <w:rFonts w:ascii="Times New Roman" w:hAnsi="Times New Roman"/>
          <w:b/>
          <w:bCs/>
          <w:sz w:val="18"/>
          <w:szCs w:val="18"/>
          <w:lang w:val="de-DE"/>
        </w:rPr>
        <w:t xml:space="preserve"> Specialty Products Division</w:t>
      </w:r>
    </w:p>
    <w:p w:rsidR="00E376DF" w:rsidRPr="005F32FD" w:rsidRDefault="00E376DF" w:rsidP="00E376DF">
      <w:pPr>
        <w:spacing w:after="0" w:line="240" w:lineRule="auto"/>
        <w:jc w:val="both"/>
        <w:rPr>
          <w:rFonts w:ascii="Times New Roman" w:hAnsi="Times New Roman"/>
          <w:sz w:val="18"/>
          <w:szCs w:val="18"/>
          <w:lang w:val="de-DE"/>
        </w:rPr>
      </w:pPr>
      <w:proofErr w:type="spellStart"/>
      <w:r w:rsidRPr="00E376DF">
        <w:rPr>
          <w:rFonts w:ascii="Times New Roman" w:hAnsi="Times New Roman"/>
          <w:sz w:val="18"/>
          <w:szCs w:val="18"/>
          <w:lang w:val="de-DE"/>
        </w:rPr>
        <w:t>DowDuPont</w:t>
      </w:r>
      <w:proofErr w:type="spellEnd"/>
      <w:r w:rsidRPr="00E376DF">
        <w:rPr>
          <w:rFonts w:ascii="Times New Roman" w:hAnsi="Times New Roman"/>
          <w:sz w:val="18"/>
          <w:szCs w:val="18"/>
          <w:lang w:val="de-DE"/>
        </w:rPr>
        <w:t xml:space="preserve"> Specialty Products, ein Unternehmensbereich von </w:t>
      </w:r>
      <w:proofErr w:type="spellStart"/>
      <w:r w:rsidRPr="00E376DF">
        <w:rPr>
          <w:rFonts w:ascii="Times New Roman" w:hAnsi="Times New Roman"/>
          <w:sz w:val="18"/>
          <w:szCs w:val="18"/>
          <w:lang w:val="de-DE"/>
        </w:rPr>
        <w:t>DowDuPont</w:t>
      </w:r>
      <w:proofErr w:type="spellEnd"/>
      <w:r w:rsidRPr="00E376DF">
        <w:rPr>
          <w:rFonts w:ascii="Times New Roman" w:hAnsi="Times New Roman"/>
          <w:sz w:val="18"/>
          <w:szCs w:val="18"/>
          <w:lang w:val="de-DE"/>
        </w:rPr>
        <w:t xml:space="preserve"> (NYSE: DWDP), ist ein globaler Innovationsführer, der technologiebasierte Materialien, Inhaltsstoffe und Lösungen entwickelt, die ganze Branchen wie auch das tägliche Leben transformieren. Unsere Mitarbeiter wenden verschiedene Wissenschaften und ihre Expertise an, damit unsere Kunden ihre besten Ideen entwickeln und entscheidende Innovationen in Schlüsselmärkten liefern können, darunter Elektronik, Transport, Bauwesen, Gesundheit und Wellness, Nahrungsmittel und Arbeitssicherheit. </w:t>
      </w:r>
      <w:proofErr w:type="spellStart"/>
      <w:r w:rsidRPr="00E376DF">
        <w:rPr>
          <w:rFonts w:ascii="Times New Roman" w:hAnsi="Times New Roman"/>
          <w:sz w:val="18"/>
          <w:szCs w:val="18"/>
          <w:lang w:val="de-DE"/>
        </w:rPr>
        <w:t>DowDuPont</w:t>
      </w:r>
      <w:proofErr w:type="spellEnd"/>
      <w:r w:rsidRPr="00E376DF">
        <w:rPr>
          <w:rFonts w:ascii="Times New Roman" w:hAnsi="Times New Roman"/>
          <w:sz w:val="18"/>
          <w:szCs w:val="18"/>
          <w:lang w:val="de-DE"/>
        </w:rPr>
        <w:t xml:space="preserve"> plant, die Specialty Products Division als ein unabhängiges, öffentlich gehandeltes Unternehmen auszugliedern. </w:t>
      </w:r>
      <w:r w:rsidRPr="005F32FD">
        <w:rPr>
          <w:rFonts w:ascii="Times New Roman" w:hAnsi="Times New Roman"/>
          <w:sz w:val="18"/>
          <w:szCs w:val="18"/>
          <w:lang w:val="de-DE"/>
        </w:rPr>
        <w:t xml:space="preserve">Weitere Informationen finden Sie unter </w:t>
      </w:r>
      <w:hyperlink r:id="rId10" w:history="1">
        <w:r w:rsidRPr="005F32FD">
          <w:rPr>
            <w:rFonts w:ascii="Times New Roman" w:hAnsi="Times New Roman"/>
            <w:color w:val="000000"/>
            <w:sz w:val="18"/>
            <w:szCs w:val="18"/>
            <w:u w:val="single"/>
            <w:lang w:val="de-DE"/>
          </w:rPr>
          <w:t>www.dow-dupont.com</w:t>
        </w:r>
      </w:hyperlink>
      <w:r w:rsidRPr="005F32FD">
        <w:rPr>
          <w:rFonts w:ascii="Times New Roman" w:hAnsi="Times New Roman"/>
          <w:sz w:val="18"/>
          <w:szCs w:val="18"/>
          <w:lang w:val="de-DE"/>
        </w:rPr>
        <w:t>.</w:t>
      </w:r>
    </w:p>
    <w:p w:rsidR="00562A2A" w:rsidRPr="00591240" w:rsidRDefault="00562A2A" w:rsidP="00562A2A">
      <w:pPr>
        <w:spacing w:after="120" w:line="240" w:lineRule="auto"/>
        <w:jc w:val="center"/>
        <w:rPr>
          <w:rFonts w:ascii="Times New Roman" w:hAnsi="Times New Roman"/>
          <w:color w:val="000000"/>
          <w:sz w:val="20"/>
          <w:szCs w:val="20"/>
          <w:lang w:val="de-DE"/>
        </w:rPr>
      </w:pPr>
      <w:r>
        <w:rPr>
          <w:rFonts w:ascii="Times New Roman" w:hAnsi="Times New Roman"/>
          <w:color w:val="000000"/>
          <w:sz w:val="20"/>
          <w:szCs w:val="20"/>
          <w:lang w:val="de-DE"/>
        </w:rPr>
        <w:t>XXX</w:t>
      </w:r>
    </w:p>
    <w:p w:rsidR="00562A2A" w:rsidRPr="004C271D" w:rsidRDefault="00562A2A" w:rsidP="00562A2A">
      <w:pPr>
        <w:spacing w:after="120" w:line="240" w:lineRule="auto"/>
        <w:rPr>
          <w:rFonts w:ascii="Times New Roman" w:hAnsi="Times New Roman"/>
          <w:color w:val="000000"/>
          <w:sz w:val="18"/>
          <w:szCs w:val="18"/>
          <w:lang w:val="de-DE"/>
        </w:rPr>
      </w:pPr>
      <w:r w:rsidRPr="004C271D">
        <w:rPr>
          <w:rFonts w:ascii="Times New Roman" w:hAnsi="Times New Roman"/>
          <w:color w:val="000000"/>
          <w:sz w:val="18"/>
          <w:szCs w:val="18"/>
          <w:lang w:val="de-DE"/>
        </w:rPr>
        <w:t xml:space="preserve">Das DuPont Logo, DuPont™ und </w:t>
      </w:r>
      <w:proofErr w:type="spellStart"/>
      <w:r w:rsidRPr="004C271D">
        <w:rPr>
          <w:rFonts w:ascii="Times New Roman" w:hAnsi="Times New Roman"/>
          <w:color w:val="000000"/>
          <w:sz w:val="18"/>
          <w:szCs w:val="18"/>
          <w:lang w:val="de-DE"/>
        </w:rPr>
        <w:t>Tyvek</w:t>
      </w:r>
      <w:proofErr w:type="spellEnd"/>
      <w:r w:rsidRPr="004C271D">
        <w:rPr>
          <w:rFonts w:ascii="Times New Roman" w:hAnsi="Times New Roman"/>
          <w:color w:val="000000"/>
          <w:sz w:val="18"/>
          <w:szCs w:val="18"/>
          <w:vertAlign w:val="superscript"/>
          <w:lang w:val="de-DE"/>
        </w:rPr>
        <w:t>®</w:t>
      </w:r>
      <w:r w:rsidRPr="004C271D">
        <w:rPr>
          <w:rFonts w:ascii="Times New Roman" w:hAnsi="Times New Roman"/>
          <w:color w:val="000000"/>
          <w:sz w:val="18"/>
          <w:szCs w:val="18"/>
          <w:lang w:val="de-DE"/>
        </w:rPr>
        <w:t xml:space="preserve"> sind markenrechtlich geschützt für E.I. du Pont de </w:t>
      </w:r>
      <w:proofErr w:type="spellStart"/>
      <w:r w:rsidRPr="004C271D">
        <w:rPr>
          <w:rFonts w:ascii="Times New Roman" w:hAnsi="Times New Roman"/>
          <w:color w:val="000000"/>
          <w:sz w:val="18"/>
          <w:szCs w:val="18"/>
          <w:lang w:val="de-DE"/>
        </w:rPr>
        <w:t>Nemours</w:t>
      </w:r>
      <w:proofErr w:type="spellEnd"/>
      <w:r w:rsidRPr="004C271D">
        <w:rPr>
          <w:rFonts w:ascii="Times New Roman" w:hAnsi="Times New Roman"/>
          <w:color w:val="000000"/>
          <w:sz w:val="18"/>
          <w:szCs w:val="18"/>
          <w:lang w:val="de-DE"/>
        </w:rPr>
        <w:t xml:space="preserve"> </w:t>
      </w:r>
      <w:proofErr w:type="spellStart"/>
      <w:r w:rsidRPr="004C271D">
        <w:rPr>
          <w:rFonts w:ascii="Times New Roman" w:hAnsi="Times New Roman"/>
          <w:color w:val="000000"/>
          <w:sz w:val="18"/>
          <w:szCs w:val="18"/>
          <w:lang w:val="de-DE"/>
        </w:rPr>
        <w:t>and</w:t>
      </w:r>
      <w:proofErr w:type="spellEnd"/>
      <w:r w:rsidRPr="004C271D">
        <w:rPr>
          <w:rFonts w:ascii="Times New Roman" w:hAnsi="Times New Roman"/>
          <w:color w:val="000000"/>
          <w:sz w:val="18"/>
          <w:szCs w:val="18"/>
          <w:lang w:val="de-DE"/>
        </w:rPr>
        <w:t xml:space="preserve"> Company oder eine ihrer Konzerngesellschaften.</w:t>
      </w:r>
    </w:p>
    <w:p w:rsidR="00562A2A" w:rsidRPr="00B871A0" w:rsidRDefault="00562A2A" w:rsidP="00562A2A">
      <w:pPr>
        <w:spacing w:after="0" w:line="240" w:lineRule="auto"/>
        <w:rPr>
          <w:rFonts w:ascii="Times New Roman" w:hAnsi="Times New Roman"/>
          <w:sz w:val="24"/>
          <w:szCs w:val="24"/>
          <w:u w:val="single"/>
          <w:lang w:val="de-DE"/>
        </w:rPr>
      </w:pPr>
      <w:r w:rsidRPr="00B871A0">
        <w:rPr>
          <w:rFonts w:ascii="Times New Roman" w:hAnsi="Times New Roman"/>
          <w:sz w:val="24"/>
          <w:szCs w:val="24"/>
          <w:u w:val="single"/>
          <w:lang w:val="de-DE"/>
        </w:rPr>
        <w:t>Redaktionelle Rückfragen und Belegexemplare:</w:t>
      </w:r>
    </w:p>
    <w:p w:rsidR="00562A2A" w:rsidRDefault="00562A2A" w:rsidP="00562A2A">
      <w:pPr>
        <w:spacing w:after="0" w:line="240" w:lineRule="auto"/>
        <w:rPr>
          <w:rFonts w:ascii="Times New Roman" w:hAnsi="Times New Roman"/>
          <w:sz w:val="24"/>
          <w:szCs w:val="24"/>
          <w:lang w:val="de-DE"/>
        </w:rPr>
      </w:pPr>
      <w:r>
        <w:rPr>
          <w:rFonts w:ascii="Times New Roman" w:hAnsi="Times New Roman"/>
          <w:sz w:val="24"/>
          <w:szCs w:val="24"/>
          <w:lang w:val="de-DE"/>
        </w:rPr>
        <w:t>Barbara Welsch</w:t>
      </w:r>
    </w:p>
    <w:p w:rsidR="00562A2A" w:rsidRDefault="00562A2A" w:rsidP="00562A2A">
      <w:pPr>
        <w:spacing w:after="0" w:line="240" w:lineRule="auto"/>
        <w:rPr>
          <w:rFonts w:ascii="Times New Roman" w:hAnsi="Times New Roman"/>
          <w:sz w:val="24"/>
          <w:szCs w:val="24"/>
          <w:lang w:val="de-DE"/>
        </w:rPr>
      </w:pPr>
      <w:r>
        <w:rPr>
          <w:rFonts w:ascii="Times New Roman" w:hAnsi="Times New Roman"/>
          <w:sz w:val="24"/>
          <w:szCs w:val="24"/>
          <w:lang w:val="de-DE"/>
        </w:rPr>
        <w:t>Konsens PR GmbH &amp; Co. KG, Hans-</w:t>
      </w:r>
      <w:proofErr w:type="spellStart"/>
      <w:r>
        <w:rPr>
          <w:rFonts w:ascii="Times New Roman" w:hAnsi="Times New Roman"/>
          <w:sz w:val="24"/>
          <w:szCs w:val="24"/>
          <w:lang w:val="de-DE"/>
        </w:rPr>
        <w:t>Kudlich</w:t>
      </w:r>
      <w:proofErr w:type="spellEnd"/>
      <w:r>
        <w:rPr>
          <w:rFonts w:ascii="Times New Roman" w:hAnsi="Times New Roman"/>
          <w:sz w:val="24"/>
          <w:szCs w:val="24"/>
          <w:lang w:val="de-DE"/>
        </w:rPr>
        <w:t>-Str. 25, D-64823 Groß-Umstadt</w:t>
      </w:r>
    </w:p>
    <w:p w:rsidR="00562A2A" w:rsidRDefault="00562A2A" w:rsidP="00562A2A">
      <w:pPr>
        <w:spacing w:after="0" w:line="240" w:lineRule="auto"/>
        <w:rPr>
          <w:rFonts w:ascii="Times New Roman" w:hAnsi="Times New Roman"/>
          <w:sz w:val="24"/>
          <w:szCs w:val="24"/>
          <w:lang w:val="de-DE"/>
        </w:rPr>
      </w:pPr>
      <w:r>
        <w:rPr>
          <w:rFonts w:ascii="Times New Roman" w:hAnsi="Times New Roman"/>
          <w:sz w:val="24"/>
          <w:szCs w:val="24"/>
          <w:lang w:val="de-DE"/>
        </w:rPr>
        <w:t>Tel.: +49 (0)60 78/93 63 14</w:t>
      </w:r>
    </w:p>
    <w:p w:rsidR="00562A2A" w:rsidRDefault="00562A2A" w:rsidP="00562A2A">
      <w:pPr>
        <w:spacing w:after="120" w:line="240" w:lineRule="auto"/>
        <w:rPr>
          <w:rFonts w:ascii="Times New Roman" w:hAnsi="Times New Roman"/>
          <w:sz w:val="24"/>
          <w:szCs w:val="24"/>
          <w:lang w:val="de-DE"/>
        </w:rPr>
      </w:pPr>
      <w:r>
        <w:rPr>
          <w:rFonts w:ascii="Times New Roman" w:hAnsi="Times New Roman"/>
          <w:sz w:val="24"/>
          <w:szCs w:val="24"/>
          <w:lang w:val="de-DE"/>
        </w:rPr>
        <w:t xml:space="preserve">E-Mail: </w:t>
      </w:r>
      <w:r w:rsidRPr="00257569">
        <w:rPr>
          <w:rFonts w:ascii="Times New Roman" w:hAnsi="Times New Roman"/>
          <w:sz w:val="24"/>
          <w:szCs w:val="24"/>
          <w:lang w:val="de-DE"/>
        </w:rPr>
        <w:t>mail@konsens.de</w:t>
      </w:r>
    </w:p>
    <w:p w:rsidR="007C5415" w:rsidRDefault="000E2F2A" w:rsidP="00562A2A">
      <w:pPr>
        <w:spacing w:after="120" w:line="240" w:lineRule="auto"/>
        <w:rPr>
          <w:rFonts w:ascii="Times New Roman" w:hAnsi="Times New Roman"/>
          <w:sz w:val="24"/>
          <w:szCs w:val="24"/>
          <w:lang w:val="de-DE"/>
        </w:rPr>
      </w:pPr>
      <w:bookmarkStart w:id="0" w:name="_GoBack"/>
      <w:r>
        <w:rPr>
          <w:rFonts w:ascii="Times New Roman" w:hAnsi="Times New Roman"/>
          <w:noProof/>
          <w:sz w:val="24"/>
          <w:szCs w:val="24"/>
          <w:lang w:val="de-DE" w:eastAsia="de-DE"/>
        </w:rPr>
        <w:drawing>
          <wp:inline distT="0" distB="0" distL="0" distR="0">
            <wp:extent cx="2870661" cy="2072850"/>
            <wp:effectExtent l="0" t="0" r="635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195_SNC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5190" cy="2076120"/>
                    </a:xfrm>
                    <a:prstGeom prst="rect">
                      <a:avLst/>
                    </a:prstGeom>
                  </pic:spPr>
                </pic:pic>
              </a:graphicData>
            </a:graphic>
          </wp:inline>
        </w:drawing>
      </w:r>
      <w:bookmarkEnd w:id="0"/>
    </w:p>
    <w:p w:rsidR="00CB04BD" w:rsidRDefault="00325389" w:rsidP="00F94285">
      <w:pPr>
        <w:spacing w:after="120" w:line="240" w:lineRule="auto"/>
        <w:rPr>
          <w:rFonts w:ascii="Times New Roman" w:hAnsi="Times New Roman"/>
          <w:sz w:val="24"/>
          <w:szCs w:val="24"/>
          <w:lang w:val="de-DE"/>
        </w:rPr>
      </w:pPr>
      <w:r w:rsidRPr="00A67753">
        <w:rPr>
          <w:rFonts w:ascii="Times New Roman" w:hAnsi="Times New Roman"/>
          <w:sz w:val="24"/>
          <w:szCs w:val="24"/>
          <w:lang w:val="de-DE"/>
        </w:rPr>
        <w:t>F</w:t>
      </w:r>
      <w:r w:rsidR="00CB04BD" w:rsidRPr="00A67753">
        <w:rPr>
          <w:rFonts w:ascii="Times New Roman" w:hAnsi="Times New Roman"/>
          <w:sz w:val="24"/>
          <w:szCs w:val="24"/>
          <w:lang w:val="de-DE"/>
        </w:rPr>
        <w:t xml:space="preserve">oto: </w:t>
      </w:r>
      <w:r w:rsidR="00F917BC" w:rsidRPr="00A67753">
        <w:rPr>
          <w:rFonts w:ascii="Times New Roman" w:hAnsi="Times New Roman"/>
          <w:sz w:val="24"/>
          <w:szCs w:val="24"/>
          <w:lang w:val="de-DE"/>
        </w:rPr>
        <w:t>DuPont</w:t>
      </w:r>
    </w:p>
    <w:p w:rsidR="00D63E52" w:rsidRPr="00A67753" w:rsidRDefault="00710107" w:rsidP="00F94285">
      <w:pPr>
        <w:spacing w:after="120" w:line="240" w:lineRule="auto"/>
        <w:rPr>
          <w:rFonts w:ascii="Times New Roman" w:hAnsi="Times New Roman"/>
          <w:sz w:val="24"/>
          <w:szCs w:val="24"/>
          <w:lang w:val="de-DE"/>
        </w:rPr>
      </w:pPr>
      <w:r>
        <w:rPr>
          <w:rFonts w:ascii="Times New Roman" w:hAnsi="Times New Roman"/>
          <w:sz w:val="24"/>
          <w:szCs w:val="24"/>
          <w:lang w:val="de-DE"/>
        </w:rPr>
        <w:t>Der neue</w:t>
      </w:r>
      <w:r w:rsidR="00D63E52">
        <w:rPr>
          <w:rFonts w:ascii="Times New Roman" w:hAnsi="Times New Roman"/>
          <w:sz w:val="24"/>
          <w:szCs w:val="24"/>
          <w:lang w:val="de-DE"/>
        </w:rPr>
        <w:t xml:space="preserve"> </w:t>
      </w:r>
      <w:proofErr w:type="spellStart"/>
      <w:r w:rsidR="00D63E52">
        <w:rPr>
          <w:rFonts w:ascii="Times New Roman" w:hAnsi="Times New Roman"/>
          <w:sz w:val="24"/>
          <w:szCs w:val="24"/>
          <w:lang w:val="de-DE"/>
        </w:rPr>
        <w:t>Tyvek</w:t>
      </w:r>
      <w:proofErr w:type="spellEnd"/>
      <w:r w:rsidR="00D63E52" w:rsidRPr="00D63E52">
        <w:rPr>
          <w:rFonts w:ascii="Times New Roman" w:hAnsi="Times New Roman"/>
          <w:sz w:val="24"/>
          <w:szCs w:val="24"/>
          <w:vertAlign w:val="superscript"/>
          <w:lang w:val="de-DE"/>
        </w:rPr>
        <w:t>®</w:t>
      </w:r>
      <w:r w:rsidR="00D63E52">
        <w:rPr>
          <w:rFonts w:ascii="Times New Roman" w:hAnsi="Times New Roman"/>
          <w:sz w:val="24"/>
          <w:szCs w:val="24"/>
          <w:lang w:val="de-DE"/>
        </w:rPr>
        <w:t xml:space="preserve"> 500 HV </w:t>
      </w:r>
      <w:r>
        <w:rPr>
          <w:rFonts w:ascii="Times New Roman" w:hAnsi="Times New Roman"/>
          <w:sz w:val="24"/>
          <w:szCs w:val="24"/>
          <w:lang w:val="de-DE"/>
        </w:rPr>
        <w:t xml:space="preserve">von DuPont vereint </w:t>
      </w:r>
      <w:r w:rsidR="0048022A">
        <w:rPr>
          <w:rFonts w:ascii="Times New Roman" w:hAnsi="Times New Roman"/>
          <w:sz w:val="24"/>
          <w:szCs w:val="24"/>
          <w:lang w:val="de-DE"/>
        </w:rPr>
        <w:t xml:space="preserve">Schutz gegen Chemikalien, </w:t>
      </w:r>
      <w:r w:rsidR="007C5673">
        <w:rPr>
          <w:rFonts w:ascii="Times New Roman" w:hAnsi="Times New Roman"/>
          <w:sz w:val="24"/>
          <w:szCs w:val="24"/>
          <w:lang w:val="de-DE"/>
        </w:rPr>
        <w:t>feste Gefahrstoffe</w:t>
      </w:r>
      <w:r w:rsidR="0048022A">
        <w:rPr>
          <w:rFonts w:ascii="Times New Roman" w:hAnsi="Times New Roman"/>
          <w:sz w:val="24"/>
          <w:szCs w:val="24"/>
          <w:lang w:val="de-DE"/>
        </w:rPr>
        <w:t xml:space="preserve"> und Infektionserreger</w:t>
      </w:r>
      <w:r>
        <w:rPr>
          <w:rFonts w:ascii="Times New Roman" w:hAnsi="Times New Roman"/>
          <w:sz w:val="24"/>
          <w:szCs w:val="24"/>
          <w:lang w:val="de-DE"/>
        </w:rPr>
        <w:t xml:space="preserve"> mit hoher Sichtbarkeit</w:t>
      </w:r>
      <w:r w:rsidR="007C5673">
        <w:rPr>
          <w:rFonts w:ascii="Times New Roman" w:hAnsi="Times New Roman"/>
          <w:sz w:val="24"/>
          <w:szCs w:val="24"/>
          <w:lang w:val="de-DE"/>
        </w:rPr>
        <w:t>. Er</w:t>
      </w:r>
      <w:r>
        <w:rPr>
          <w:rFonts w:ascii="Times New Roman" w:hAnsi="Times New Roman"/>
          <w:sz w:val="24"/>
          <w:szCs w:val="24"/>
          <w:lang w:val="de-DE"/>
        </w:rPr>
        <w:t xml:space="preserve"> schützt die Mitarbeiter der französischen Bahngesellschaft SNCF bei Wartungsarbeiten</w:t>
      </w:r>
      <w:r w:rsidR="00D63E52">
        <w:rPr>
          <w:rFonts w:ascii="Times New Roman" w:hAnsi="Times New Roman"/>
          <w:sz w:val="24"/>
          <w:szCs w:val="24"/>
          <w:lang w:val="de-DE"/>
        </w:rPr>
        <w:t>.</w:t>
      </w:r>
    </w:p>
    <w:p w:rsidR="002F16F1" w:rsidRPr="00D30251" w:rsidRDefault="002F16F1" w:rsidP="002F16F1">
      <w:pPr>
        <w:pStyle w:val="Fuzeile"/>
        <w:pBdr>
          <w:top w:val="single" w:sz="4" w:space="1" w:color="auto"/>
        </w:pBdr>
        <w:spacing w:after="120" w:line="240" w:lineRule="auto"/>
        <w:rPr>
          <w:rFonts w:ascii="Times New Roman" w:hAnsi="Times New Roman"/>
          <w:i/>
          <w:sz w:val="14"/>
          <w:szCs w:val="14"/>
          <w:lang w:val="de-DE"/>
        </w:rPr>
      </w:pPr>
      <w:r w:rsidRPr="00D30251">
        <w:rPr>
          <w:rFonts w:ascii="Times New Roman" w:hAnsi="Times New Roman"/>
          <w:i/>
          <w:sz w:val="14"/>
          <w:szCs w:val="14"/>
          <w:lang w:val="de-DE"/>
        </w:rPr>
        <w:t>Die Verwendung des hier von DuPont zur Verfügung bereitgestellten Bildmaterials (Fotos, Folien, Dateien, etc.) ist ausschließlich für publizistische Zwecke im Zusammenhang mit dem von DuPont ebenfalls zu diesem Thema zur Verfügung gestellten Textmaterial freigegeben. Die Verwendung zur Illustration von Produkten und/oder Dienstleistungen anderer Unternehmen als DuPont ist untersagt.</w:t>
      </w:r>
    </w:p>
    <w:sectPr w:rsidR="002F16F1" w:rsidRPr="00D30251" w:rsidSect="00205F09">
      <w:headerReference w:type="even" r:id="rId12"/>
      <w:headerReference w:type="default" r:id="rId13"/>
      <w:footerReference w:type="even" r:id="rId14"/>
      <w:footerReference w:type="default" r:id="rId15"/>
      <w:headerReference w:type="first" r:id="rId16"/>
      <w:footerReference w:type="first" r:id="rId17"/>
      <w:pgSz w:w="11907" w:h="16840" w:code="9"/>
      <w:pgMar w:top="1701" w:right="1418" w:bottom="284" w:left="1418" w:header="851" w:footer="17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210" w:rsidRDefault="00332210" w:rsidP="00FF4343">
      <w:pPr>
        <w:spacing w:after="0" w:line="240" w:lineRule="auto"/>
      </w:pPr>
      <w:r>
        <w:separator/>
      </w:r>
    </w:p>
  </w:endnote>
  <w:endnote w:type="continuationSeparator" w:id="0">
    <w:p w:rsidR="00332210" w:rsidRDefault="00332210" w:rsidP="00FF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DupontOv">
    <w:panose1 w:val="00000400000000000000"/>
    <w:charset w:val="00"/>
    <w:family w:val="auto"/>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52" w:rsidRDefault="00FE5C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52" w:rsidRDefault="00FE5C5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52" w:rsidRDefault="00FE5C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210" w:rsidRDefault="00332210" w:rsidP="00FF4343">
      <w:pPr>
        <w:spacing w:after="0" w:line="240" w:lineRule="auto"/>
      </w:pPr>
      <w:r>
        <w:separator/>
      </w:r>
    </w:p>
  </w:footnote>
  <w:footnote w:type="continuationSeparator" w:id="0">
    <w:p w:rsidR="00332210" w:rsidRDefault="00332210" w:rsidP="00FF4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52" w:rsidRDefault="00FE5C5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52" w:rsidRDefault="00FE5C5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92" w:rsidRPr="000700D9" w:rsidRDefault="00332210" w:rsidP="007A5B0A">
    <w:pPr>
      <w:pStyle w:val="Kopfzeile"/>
      <w:tabs>
        <w:tab w:val="clear" w:pos="4536"/>
        <w:tab w:val="center" w:pos="3969"/>
        <w:tab w:val="right" w:pos="9000"/>
      </w:tabs>
      <w:ind w:hanging="567"/>
      <w:rPr>
        <w:sz w:val="28"/>
        <w:szCs w:val="28"/>
        <w:lang w:val="de-DE"/>
      </w:rPr>
    </w:pPr>
    <w:r>
      <w:rPr>
        <w:rFonts w:ascii="DupontOv" w:hAnsi="DupontOv"/>
        <w:noProof/>
        <w:lang w:val="de-DE" w:eastAsia="de-DE"/>
      </w:rPr>
      <w:drawing>
        <wp:inline distT="0" distB="0" distL="0" distR="0" wp14:anchorId="62F19C0D" wp14:editId="69FC999A">
          <wp:extent cx="2155825" cy="720725"/>
          <wp:effectExtent l="0" t="0" r="0" b="3175"/>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720725"/>
                  </a:xfrm>
                  <a:prstGeom prst="rect">
                    <a:avLst/>
                  </a:prstGeom>
                  <a:noFill/>
                  <a:ln>
                    <a:noFill/>
                  </a:ln>
                </pic:spPr>
              </pic:pic>
            </a:graphicData>
          </a:graphic>
        </wp:inline>
      </w:drawing>
    </w:r>
    <w:r w:rsidR="00663A92" w:rsidRPr="00661A0D">
      <w:rPr>
        <w:rFonts w:ascii="DupontOv" w:hAnsi="DupontOv"/>
        <w:lang w:val="de-DE"/>
      </w:rPr>
      <w:tab/>
    </w:r>
    <w:r w:rsidR="00663A92" w:rsidRPr="00661A0D">
      <w:rPr>
        <w:rFonts w:ascii="Univers" w:hAnsi="Univers"/>
        <w:b/>
        <w:sz w:val="28"/>
        <w:szCs w:val="28"/>
        <w:lang w:val="de-DE"/>
      </w:rPr>
      <w:tab/>
    </w:r>
    <w:r w:rsidR="00663A92" w:rsidRPr="000700D9">
      <w:rPr>
        <w:rFonts w:ascii="Arial" w:hAnsi="Arial" w:cs="Arial"/>
        <w:b/>
        <w:sz w:val="28"/>
        <w:szCs w:val="28"/>
        <w:lang w:val="de-DE"/>
      </w:rPr>
      <w:t>Pressemitteilung</w:t>
    </w:r>
  </w:p>
  <w:p w:rsidR="00663A92" w:rsidRPr="000700D9" w:rsidRDefault="00663A92" w:rsidP="002E06BC">
    <w:pPr>
      <w:pStyle w:val="text"/>
      <w:spacing w:after="0" w:line="240" w:lineRule="auto"/>
      <w:rPr>
        <w:color w:val="000000"/>
        <w:szCs w:val="24"/>
        <w:u w:val="single"/>
        <w:lang w:val="de-DE"/>
      </w:rPr>
    </w:pPr>
  </w:p>
  <w:p w:rsidR="000700D9" w:rsidRPr="001F7939" w:rsidRDefault="000700D9" w:rsidP="000700D9">
    <w:pPr>
      <w:pStyle w:val="text"/>
      <w:spacing w:after="0" w:line="240" w:lineRule="auto"/>
      <w:rPr>
        <w:rFonts w:ascii="Times New Roman" w:hAnsi="Times New Roman"/>
        <w:color w:val="000000"/>
        <w:sz w:val="20"/>
        <w:szCs w:val="20"/>
        <w:u w:val="single"/>
        <w:lang w:val="de-DE"/>
      </w:rPr>
    </w:pPr>
    <w:r w:rsidRPr="001F7939">
      <w:rPr>
        <w:rFonts w:ascii="Times New Roman" w:hAnsi="Times New Roman"/>
        <w:color w:val="000000"/>
        <w:sz w:val="20"/>
        <w:szCs w:val="20"/>
        <w:u w:val="single"/>
        <w:lang w:val="de-DE"/>
      </w:rPr>
      <w:t>Kontakt:</w:t>
    </w:r>
  </w:p>
  <w:p w:rsidR="00FE5C52" w:rsidRPr="00661A0D" w:rsidRDefault="00FE5C52" w:rsidP="00FE5C52">
    <w:pPr>
      <w:pStyle w:val="text"/>
      <w:spacing w:after="0" w:line="240" w:lineRule="auto"/>
      <w:rPr>
        <w:rFonts w:ascii="Times New Roman" w:hAnsi="Times New Roman"/>
        <w:color w:val="000000"/>
        <w:sz w:val="20"/>
        <w:szCs w:val="20"/>
        <w:lang w:val="de-DE"/>
      </w:rPr>
    </w:pPr>
    <w:r w:rsidRPr="00661A0D">
      <w:rPr>
        <w:rFonts w:ascii="Times New Roman" w:hAnsi="Times New Roman"/>
        <w:color w:val="000000"/>
        <w:sz w:val="20"/>
        <w:szCs w:val="20"/>
        <w:lang w:val="de-DE"/>
      </w:rPr>
      <w:t>Ariane Biberian</w:t>
    </w:r>
  </w:p>
  <w:p w:rsidR="00FE5C52" w:rsidRPr="00661A0D" w:rsidRDefault="00FE5C52" w:rsidP="00FE5C52">
    <w:pPr>
      <w:pStyle w:val="text"/>
      <w:spacing w:after="0" w:line="240" w:lineRule="auto"/>
      <w:rPr>
        <w:rFonts w:ascii="Times New Roman" w:hAnsi="Times New Roman"/>
        <w:color w:val="000000"/>
        <w:sz w:val="20"/>
        <w:szCs w:val="20"/>
        <w:lang w:val="de-DE"/>
      </w:rPr>
    </w:pPr>
    <w:r w:rsidRPr="00661A0D">
      <w:rPr>
        <w:rFonts w:ascii="Times New Roman" w:hAnsi="Times New Roman"/>
        <w:color w:val="000000"/>
        <w:sz w:val="20"/>
        <w:szCs w:val="20"/>
        <w:lang w:val="de-DE"/>
      </w:rPr>
      <w:t>DuPont™ Tyvek® Protective Apparel</w:t>
    </w:r>
  </w:p>
  <w:p w:rsidR="00FE5C52" w:rsidRPr="00FE5C52" w:rsidRDefault="00FE5C52" w:rsidP="00FE5C52">
    <w:pPr>
      <w:pStyle w:val="text"/>
      <w:spacing w:after="0" w:line="240" w:lineRule="auto"/>
      <w:rPr>
        <w:rFonts w:ascii="Times New Roman" w:hAnsi="Times New Roman"/>
        <w:color w:val="000000"/>
        <w:sz w:val="20"/>
        <w:szCs w:val="20"/>
        <w:lang w:val="fr-FR"/>
      </w:rPr>
    </w:pPr>
    <w:r w:rsidRPr="00FE5C52">
      <w:rPr>
        <w:rFonts w:ascii="Times New Roman" w:hAnsi="Times New Roman"/>
        <w:color w:val="000000"/>
        <w:sz w:val="20"/>
        <w:szCs w:val="20"/>
        <w:lang w:val="fr-FR"/>
      </w:rPr>
      <w:t>Marketing Communications EMEA</w:t>
    </w:r>
  </w:p>
  <w:p w:rsidR="00FE5C52" w:rsidRPr="00FE5C52" w:rsidRDefault="00FE5C52" w:rsidP="00FE5C52">
    <w:pPr>
      <w:pStyle w:val="text"/>
      <w:spacing w:after="0" w:line="240" w:lineRule="auto"/>
      <w:rPr>
        <w:rFonts w:ascii="Times New Roman" w:hAnsi="Times New Roman"/>
        <w:color w:val="000000"/>
        <w:sz w:val="20"/>
        <w:szCs w:val="20"/>
        <w:lang w:val="fr-FR"/>
      </w:rPr>
    </w:pPr>
    <w:r w:rsidRPr="00FE5C52">
      <w:rPr>
        <w:rFonts w:ascii="Times New Roman" w:hAnsi="Times New Roman"/>
        <w:color w:val="000000"/>
        <w:sz w:val="20"/>
        <w:szCs w:val="20"/>
        <w:lang w:val="fr-FR"/>
      </w:rPr>
      <w:t>Ariane.Biberian@dupont.com</w:t>
    </w:r>
  </w:p>
  <w:p w:rsidR="00663A92" w:rsidRPr="006308CF" w:rsidRDefault="00FE5C52" w:rsidP="00FE5C52">
    <w:pPr>
      <w:pStyle w:val="text"/>
      <w:spacing w:after="0" w:line="240" w:lineRule="auto"/>
      <w:rPr>
        <w:rFonts w:ascii="Times New Roman" w:hAnsi="Times New Roman"/>
        <w:color w:val="000000"/>
        <w:sz w:val="20"/>
        <w:szCs w:val="20"/>
        <w:lang w:val="en-US"/>
      </w:rPr>
    </w:pPr>
    <w:r w:rsidRPr="00FE5C52">
      <w:rPr>
        <w:rFonts w:ascii="Times New Roman" w:hAnsi="Times New Roman"/>
        <w:color w:val="000000"/>
        <w:sz w:val="20"/>
        <w:szCs w:val="20"/>
        <w:lang w:val="fr-FR"/>
      </w:rPr>
      <w:t>Tel.: +352 3666 5479</w:t>
    </w:r>
  </w:p>
  <w:p w:rsidR="00F94285" w:rsidRPr="006308CF" w:rsidRDefault="00F94285" w:rsidP="002E06BC">
    <w:pPr>
      <w:pStyle w:val="Kopfzeile"/>
      <w:spacing w:after="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7579C"/>
    <w:multiLevelType w:val="hybridMultilevel"/>
    <w:tmpl w:val="68BA1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B734644"/>
    <w:multiLevelType w:val="hybridMultilevel"/>
    <w:tmpl w:val="6DEA2452"/>
    <w:lvl w:ilvl="0" w:tplc="486EF506">
      <w:numFmt w:val="bullet"/>
      <w:lvlText w:val="•"/>
      <w:lvlJc w:val="left"/>
      <w:pPr>
        <w:ind w:left="1067" w:hanging="707"/>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10"/>
    <w:rsid w:val="00001D59"/>
    <w:rsid w:val="00007A55"/>
    <w:rsid w:val="000108E4"/>
    <w:rsid w:val="00015FC2"/>
    <w:rsid w:val="00016C2F"/>
    <w:rsid w:val="0001737F"/>
    <w:rsid w:val="0002446B"/>
    <w:rsid w:val="000422F7"/>
    <w:rsid w:val="00043C18"/>
    <w:rsid w:val="00045EA6"/>
    <w:rsid w:val="000462DF"/>
    <w:rsid w:val="000462FB"/>
    <w:rsid w:val="00046345"/>
    <w:rsid w:val="000464BA"/>
    <w:rsid w:val="000557B3"/>
    <w:rsid w:val="0005609D"/>
    <w:rsid w:val="000564C3"/>
    <w:rsid w:val="00061217"/>
    <w:rsid w:val="00064B74"/>
    <w:rsid w:val="000650CC"/>
    <w:rsid w:val="000700D9"/>
    <w:rsid w:val="0007356D"/>
    <w:rsid w:val="00077016"/>
    <w:rsid w:val="00082F94"/>
    <w:rsid w:val="0008779D"/>
    <w:rsid w:val="00094340"/>
    <w:rsid w:val="0009630A"/>
    <w:rsid w:val="000964CF"/>
    <w:rsid w:val="000A4CD1"/>
    <w:rsid w:val="000B0B79"/>
    <w:rsid w:val="000B3982"/>
    <w:rsid w:val="000B7EAA"/>
    <w:rsid w:val="000C3305"/>
    <w:rsid w:val="000C503E"/>
    <w:rsid w:val="000C6396"/>
    <w:rsid w:val="000D18B0"/>
    <w:rsid w:val="000D4972"/>
    <w:rsid w:val="000E03D5"/>
    <w:rsid w:val="000E29EB"/>
    <w:rsid w:val="000E2F2A"/>
    <w:rsid w:val="000E372A"/>
    <w:rsid w:val="000E46B4"/>
    <w:rsid w:val="000F1FA5"/>
    <w:rsid w:val="000F2789"/>
    <w:rsid w:val="000F2B27"/>
    <w:rsid w:val="000F2C7C"/>
    <w:rsid w:val="000F532B"/>
    <w:rsid w:val="000F647F"/>
    <w:rsid w:val="000F726C"/>
    <w:rsid w:val="0010086D"/>
    <w:rsid w:val="001026CD"/>
    <w:rsid w:val="00102C80"/>
    <w:rsid w:val="00103EFA"/>
    <w:rsid w:val="00107234"/>
    <w:rsid w:val="00110945"/>
    <w:rsid w:val="00111DF0"/>
    <w:rsid w:val="00114FB2"/>
    <w:rsid w:val="001168CF"/>
    <w:rsid w:val="00121F75"/>
    <w:rsid w:val="001303D7"/>
    <w:rsid w:val="001363EA"/>
    <w:rsid w:val="00140A8F"/>
    <w:rsid w:val="00142994"/>
    <w:rsid w:val="001451D1"/>
    <w:rsid w:val="00150278"/>
    <w:rsid w:val="00155C25"/>
    <w:rsid w:val="00162763"/>
    <w:rsid w:val="0016614D"/>
    <w:rsid w:val="001671E3"/>
    <w:rsid w:val="001706A6"/>
    <w:rsid w:val="001800F8"/>
    <w:rsid w:val="00180673"/>
    <w:rsid w:val="0018207D"/>
    <w:rsid w:val="001861EA"/>
    <w:rsid w:val="00193D27"/>
    <w:rsid w:val="001944F2"/>
    <w:rsid w:val="0019671B"/>
    <w:rsid w:val="001A5BAF"/>
    <w:rsid w:val="001B2898"/>
    <w:rsid w:val="001B7891"/>
    <w:rsid w:val="001B7F64"/>
    <w:rsid w:val="001C635C"/>
    <w:rsid w:val="001D0A13"/>
    <w:rsid w:val="001D2E8B"/>
    <w:rsid w:val="001D3AE5"/>
    <w:rsid w:val="001D581B"/>
    <w:rsid w:val="001F09F8"/>
    <w:rsid w:val="001F1F79"/>
    <w:rsid w:val="001F7939"/>
    <w:rsid w:val="001F7A58"/>
    <w:rsid w:val="0020354A"/>
    <w:rsid w:val="002057E5"/>
    <w:rsid w:val="00205F09"/>
    <w:rsid w:val="00214BBE"/>
    <w:rsid w:val="00215919"/>
    <w:rsid w:val="00226326"/>
    <w:rsid w:val="00227EC5"/>
    <w:rsid w:val="0023045D"/>
    <w:rsid w:val="00235AE7"/>
    <w:rsid w:val="002479BB"/>
    <w:rsid w:val="00250110"/>
    <w:rsid w:val="00251EF9"/>
    <w:rsid w:val="002551E1"/>
    <w:rsid w:val="002620B5"/>
    <w:rsid w:val="0026283E"/>
    <w:rsid w:val="00264DB0"/>
    <w:rsid w:val="00272276"/>
    <w:rsid w:val="00275EDB"/>
    <w:rsid w:val="00276142"/>
    <w:rsid w:val="002810F5"/>
    <w:rsid w:val="00283FBE"/>
    <w:rsid w:val="00284B8D"/>
    <w:rsid w:val="002A13DC"/>
    <w:rsid w:val="002A528A"/>
    <w:rsid w:val="002A5E52"/>
    <w:rsid w:val="002B0E02"/>
    <w:rsid w:val="002B1701"/>
    <w:rsid w:val="002B6665"/>
    <w:rsid w:val="002C4A08"/>
    <w:rsid w:val="002D3797"/>
    <w:rsid w:val="002D5CD8"/>
    <w:rsid w:val="002D64CB"/>
    <w:rsid w:val="002E06BC"/>
    <w:rsid w:val="002E2796"/>
    <w:rsid w:val="002E6D5D"/>
    <w:rsid w:val="002E7007"/>
    <w:rsid w:val="002F16F1"/>
    <w:rsid w:val="002F3976"/>
    <w:rsid w:val="002F4311"/>
    <w:rsid w:val="002F7288"/>
    <w:rsid w:val="0030405D"/>
    <w:rsid w:val="00305293"/>
    <w:rsid w:val="00316471"/>
    <w:rsid w:val="00317052"/>
    <w:rsid w:val="00323D19"/>
    <w:rsid w:val="00323D1A"/>
    <w:rsid w:val="00325389"/>
    <w:rsid w:val="00325AAB"/>
    <w:rsid w:val="003302DD"/>
    <w:rsid w:val="00332210"/>
    <w:rsid w:val="00337E32"/>
    <w:rsid w:val="00341244"/>
    <w:rsid w:val="00345675"/>
    <w:rsid w:val="003509F8"/>
    <w:rsid w:val="00350A7B"/>
    <w:rsid w:val="00352DB6"/>
    <w:rsid w:val="00353107"/>
    <w:rsid w:val="003619C3"/>
    <w:rsid w:val="003708CE"/>
    <w:rsid w:val="00372E73"/>
    <w:rsid w:val="003738A2"/>
    <w:rsid w:val="00374972"/>
    <w:rsid w:val="003757B3"/>
    <w:rsid w:val="00384843"/>
    <w:rsid w:val="00390BF4"/>
    <w:rsid w:val="00395D84"/>
    <w:rsid w:val="003A36ED"/>
    <w:rsid w:val="003A4705"/>
    <w:rsid w:val="003B023E"/>
    <w:rsid w:val="003B08AE"/>
    <w:rsid w:val="003B22BE"/>
    <w:rsid w:val="003B2C26"/>
    <w:rsid w:val="003B3C97"/>
    <w:rsid w:val="003B54A4"/>
    <w:rsid w:val="003B73C1"/>
    <w:rsid w:val="003C2A40"/>
    <w:rsid w:val="003C5879"/>
    <w:rsid w:val="003C5F76"/>
    <w:rsid w:val="003C6B45"/>
    <w:rsid w:val="003D16D3"/>
    <w:rsid w:val="003D4B73"/>
    <w:rsid w:val="003D4D77"/>
    <w:rsid w:val="003E402B"/>
    <w:rsid w:val="003E53A2"/>
    <w:rsid w:val="003E5803"/>
    <w:rsid w:val="003F0E6F"/>
    <w:rsid w:val="003F6A15"/>
    <w:rsid w:val="0040144B"/>
    <w:rsid w:val="004051F2"/>
    <w:rsid w:val="00405C45"/>
    <w:rsid w:val="00410414"/>
    <w:rsid w:val="0041224F"/>
    <w:rsid w:val="004275FF"/>
    <w:rsid w:val="00432C66"/>
    <w:rsid w:val="004333C4"/>
    <w:rsid w:val="0043556D"/>
    <w:rsid w:val="0044078A"/>
    <w:rsid w:val="00441ADF"/>
    <w:rsid w:val="004440F4"/>
    <w:rsid w:val="004514C1"/>
    <w:rsid w:val="00453DC5"/>
    <w:rsid w:val="0045449F"/>
    <w:rsid w:val="004565AA"/>
    <w:rsid w:val="00457B01"/>
    <w:rsid w:val="00460342"/>
    <w:rsid w:val="00461A10"/>
    <w:rsid w:val="004625DC"/>
    <w:rsid w:val="00471923"/>
    <w:rsid w:val="0048022A"/>
    <w:rsid w:val="00484D55"/>
    <w:rsid w:val="004900E1"/>
    <w:rsid w:val="00491D74"/>
    <w:rsid w:val="00492689"/>
    <w:rsid w:val="004965CB"/>
    <w:rsid w:val="004A06FE"/>
    <w:rsid w:val="004A608A"/>
    <w:rsid w:val="004B0273"/>
    <w:rsid w:val="004B0A77"/>
    <w:rsid w:val="004B127A"/>
    <w:rsid w:val="004C271D"/>
    <w:rsid w:val="004C2FF1"/>
    <w:rsid w:val="004C5E45"/>
    <w:rsid w:val="004C7097"/>
    <w:rsid w:val="004C7E35"/>
    <w:rsid w:val="004D3F56"/>
    <w:rsid w:val="004D59FF"/>
    <w:rsid w:val="004E1F03"/>
    <w:rsid w:val="004F5C9D"/>
    <w:rsid w:val="0050002F"/>
    <w:rsid w:val="00501EC1"/>
    <w:rsid w:val="00503982"/>
    <w:rsid w:val="00511B49"/>
    <w:rsid w:val="005129CA"/>
    <w:rsid w:val="005145F6"/>
    <w:rsid w:val="00516CED"/>
    <w:rsid w:val="00517414"/>
    <w:rsid w:val="00517791"/>
    <w:rsid w:val="00523871"/>
    <w:rsid w:val="00525FD1"/>
    <w:rsid w:val="005266F0"/>
    <w:rsid w:val="00526921"/>
    <w:rsid w:val="0053735B"/>
    <w:rsid w:val="00541425"/>
    <w:rsid w:val="00554111"/>
    <w:rsid w:val="00556091"/>
    <w:rsid w:val="00561EDD"/>
    <w:rsid w:val="00562A2A"/>
    <w:rsid w:val="00563CD0"/>
    <w:rsid w:val="00567290"/>
    <w:rsid w:val="00571845"/>
    <w:rsid w:val="005815EC"/>
    <w:rsid w:val="0058167B"/>
    <w:rsid w:val="00583B38"/>
    <w:rsid w:val="00584DB4"/>
    <w:rsid w:val="00591EB3"/>
    <w:rsid w:val="00593777"/>
    <w:rsid w:val="00593DDD"/>
    <w:rsid w:val="00594332"/>
    <w:rsid w:val="0059503F"/>
    <w:rsid w:val="00597155"/>
    <w:rsid w:val="005A1D33"/>
    <w:rsid w:val="005A2181"/>
    <w:rsid w:val="005A3B6E"/>
    <w:rsid w:val="005A52FB"/>
    <w:rsid w:val="005B164E"/>
    <w:rsid w:val="005B4BC6"/>
    <w:rsid w:val="005B546F"/>
    <w:rsid w:val="005B56B1"/>
    <w:rsid w:val="005C3795"/>
    <w:rsid w:val="005C5862"/>
    <w:rsid w:val="005D1827"/>
    <w:rsid w:val="005D3982"/>
    <w:rsid w:val="005D4D57"/>
    <w:rsid w:val="005D75DA"/>
    <w:rsid w:val="005E46A3"/>
    <w:rsid w:val="005E5ACE"/>
    <w:rsid w:val="005F32FD"/>
    <w:rsid w:val="005F3E64"/>
    <w:rsid w:val="005F4F70"/>
    <w:rsid w:val="005F6928"/>
    <w:rsid w:val="00603E7E"/>
    <w:rsid w:val="00605316"/>
    <w:rsid w:val="00605337"/>
    <w:rsid w:val="006056B9"/>
    <w:rsid w:val="006111F3"/>
    <w:rsid w:val="006230FA"/>
    <w:rsid w:val="00625A9E"/>
    <w:rsid w:val="00626E00"/>
    <w:rsid w:val="006308CF"/>
    <w:rsid w:val="0063264B"/>
    <w:rsid w:val="00634FFE"/>
    <w:rsid w:val="00640B03"/>
    <w:rsid w:val="00643625"/>
    <w:rsid w:val="00644194"/>
    <w:rsid w:val="00652783"/>
    <w:rsid w:val="00661A0D"/>
    <w:rsid w:val="00662846"/>
    <w:rsid w:val="00663A92"/>
    <w:rsid w:val="00663BA3"/>
    <w:rsid w:val="00665A7C"/>
    <w:rsid w:val="006A169C"/>
    <w:rsid w:val="006A5943"/>
    <w:rsid w:val="006B0201"/>
    <w:rsid w:val="006B0F3C"/>
    <w:rsid w:val="006B1889"/>
    <w:rsid w:val="006B48BD"/>
    <w:rsid w:val="006B5E35"/>
    <w:rsid w:val="006B76E8"/>
    <w:rsid w:val="006C16E9"/>
    <w:rsid w:val="006C4B1D"/>
    <w:rsid w:val="006C6EFF"/>
    <w:rsid w:val="006D4BB9"/>
    <w:rsid w:val="006D592F"/>
    <w:rsid w:val="006E0980"/>
    <w:rsid w:val="006E3C10"/>
    <w:rsid w:val="006E4B6F"/>
    <w:rsid w:val="006E4C2F"/>
    <w:rsid w:val="006E61E6"/>
    <w:rsid w:val="006F0A1A"/>
    <w:rsid w:val="006F0AD6"/>
    <w:rsid w:val="006F0BC0"/>
    <w:rsid w:val="006F2A7B"/>
    <w:rsid w:val="00704778"/>
    <w:rsid w:val="00710107"/>
    <w:rsid w:val="00710398"/>
    <w:rsid w:val="007106F4"/>
    <w:rsid w:val="00711D0A"/>
    <w:rsid w:val="007127DA"/>
    <w:rsid w:val="00720EBD"/>
    <w:rsid w:val="00722D2E"/>
    <w:rsid w:val="00723B21"/>
    <w:rsid w:val="007263B2"/>
    <w:rsid w:val="0072679B"/>
    <w:rsid w:val="00727582"/>
    <w:rsid w:val="007329FE"/>
    <w:rsid w:val="007408FE"/>
    <w:rsid w:val="00744232"/>
    <w:rsid w:val="00744438"/>
    <w:rsid w:val="0074463A"/>
    <w:rsid w:val="0075228F"/>
    <w:rsid w:val="0076018C"/>
    <w:rsid w:val="0076145B"/>
    <w:rsid w:val="00765F40"/>
    <w:rsid w:val="0077087B"/>
    <w:rsid w:val="00770F69"/>
    <w:rsid w:val="0077136C"/>
    <w:rsid w:val="00774781"/>
    <w:rsid w:val="00780A00"/>
    <w:rsid w:val="00782010"/>
    <w:rsid w:val="00782E08"/>
    <w:rsid w:val="0078625A"/>
    <w:rsid w:val="007A5B0A"/>
    <w:rsid w:val="007A776B"/>
    <w:rsid w:val="007B2F25"/>
    <w:rsid w:val="007C037F"/>
    <w:rsid w:val="007C0447"/>
    <w:rsid w:val="007C4FC1"/>
    <w:rsid w:val="007C5415"/>
    <w:rsid w:val="007C5673"/>
    <w:rsid w:val="007C658D"/>
    <w:rsid w:val="007D3CBF"/>
    <w:rsid w:val="007D41D8"/>
    <w:rsid w:val="007D71EA"/>
    <w:rsid w:val="007E2F36"/>
    <w:rsid w:val="007E7D92"/>
    <w:rsid w:val="007F27A4"/>
    <w:rsid w:val="008006C1"/>
    <w:rsid w:val="00801B1E"/>
    <w:rsid w:val="008028B7"/>
    <w:rsid w:val="0080302D"/>
    <w:rsid w:val="00803087"/>
    <w:rsid w:val="008100E9"/>
    <w:rsid w:val="0081082A"/>
    <w:rsid w:val="00812B21"/>
    <w:rsid w:val="008159BB"/>
    <w:rsid w:val="00830285"/>
    <w:rsid w:val="00830DC4"/>
    <w:rsid w:val="00831FC7"/>
    <w:rsid w:val="00834705"/>
    <w:rsid w:val="00847784"/>
    <w:rsid w:val="0085081E"/>
    <w:rsid w:val="00854527"/>
    <w:rsid w:val="008548BF"/>
    <w:rsid w:val="008609DE"/>
    <w:rsid w:val="0087027F"/>
    <w:rsid w:val="00875B8E"/>
    <w:rsid w:val="00886837"/>
    <w:rsid w:val="00890CCB"/>
    <w:rsid w:val="00892282"/>
    <w:rsid w:val="00892EC5"/>
    <w:rsid w:val="008930B4"/>
    <w:rsid w:val="008A03B9"/>
    <w:rsid w:val="008A258E"/>
    <w:rsid w:val="008B3F43"/>
    <w:rsid w:val="008B538B"/>
    <w:rsid w:val="008B6D51"/>
    <w:rsid w:val="008C076D"/>
    <w:rsid w:val="008C1854"/>
    <w:rsid w:val="008D4426"/>
    <w:rsid w:val="008D6B81"/>
    <w:rsid w:val="008D7124"/>
    <w:rsid w:val="008E3702"/>
    <w:rsid w:val="008E3EDB"/>
    <w:rsid w:val="008E4161"/>
    <w:rsid w:val="008F252C"/>
    <w:rsid w:val="008F3361"/>
    <w:rsid w:val="008F35F1"/>
    <w:rsid w:val="0090085D"/>
    <w:rsid w:val="009028FD"/>
    <w:rsid w:val="009035BA"/>
    <w:rsid w:val="0090366D"/>
    <w:rsid w:val="00905EEF"/>
    <w:rsid w:val="0090773E"/>
    <w:rsid w:val="00915B47"/>
    <w:rsid w:val="00921F48"/>
    <w:rsid w:val="009258BF"/>
    <w:rsid w:val="00931639"/>
    <w:rsid w:val="009337FD"/>
    <w:rsid w:val="00935961"/>
    <w:rsid w:val="00953969"/>
    <w:rsid w:val="00957771"/>
    <w:rsid w:val="00971750"/>
    <w:rsid w:val="0097625A"/>
    <w:rsid w:val="00977E97"/>
    <w:rsid w:val="00982496"/>
    <w:rsid w:val="0098590B"/>
    <w:rsid w:val="00985F65"/>
    <w:rsid w:val="009862B0"/>
    <w:rsid w:val="00986CD4"/>
    <w:rsid w:val="00991112"/>
    <w:rsid w:val="009938D1"/>
    <w:rsid w:val="0099681A"/>
    <w:rsid w:val="00997F78"/>
    <w:rsid w:val="009A0A91"/>
    <w:rsid w:val="009A125B"/>
    <w:rsid w:val="009B511F"/>
    <w:rsid w:val="009B73C6"/>
    <w:rsid w:val="009D124A"/>
    <w:rsid w:val="009D30C7"/>
    <w:rsid w:val="009D3E49"/>
    <w:rsid w:val="009D6FD6"/>
    <w:rsid w:val="009D7C16"/>
    <w:rsid w:val="009E2EE9"/>
    <w:rsid w:val="009F1869"/>
    <w:rsid w:val="009F4D05"/>
    <w:rsid w:val="009F555D"/>
    <w:rsid w:val="009F6EB7"/>
    <w:rsid w:val="00A007CC"/>
    <w:rsid w:val="00A01275"/>
    <w:rsid w:val="00A045AD"/>
    <w:rsid w:val="00A07156"/>
    <w:rsid w:val="00A07CB4"/>
    <w:rsid w:val="00A158F1"/>
    <w:rsid w:val="00A1653F"/>
    <w:rsid w:val="00A231AE"/>
    <w:rsid w:val="00A23DE8"/>
    <w:rsid w:val="00A23FCB"/>
    <w:rsid w:val="00A30AE7"/>
    <w:rsid w:val="00A325A8"/>
    <w:rsid w:val="00A3350E"/>
    <w:rsid w:val="00A378A2"/>
    <w:rsid w:val="00A37D97"/>
    <w:rsid w:val="00A43F3C"/>
    <w:rsid w:val="00A454BE"/>
    <w:rsid w:val="00A473E7"/>
    <w:rsid w:val="00A508AB"/>
    <w:rsid w:val="00A567DA"/>
    <w:rsid w:val="00A56AD1"/>
    <w:rsid w:val="00A66819"/>
    <w:rsid w:val="00A67753"/>
    <w:rsid w:val="00A757F3"/>
    <w:rsid w:val="00A7599A"/>
    <w:rsid w:val="00A80A1B"/>
    <w:rsid w:val="00A86B9E"/>
    <w:rsid w:val="00A872C6"/>
    <w:rsid w:val="00A90500"/>
    <w:rsid w:val="00A91E26"/>
    <w:rsid w:val="00A97BC2"/>
    <w:rsid w:val="00AA25EC"/>
    <w:rsid w:val="00AA48A8"/>
    <w:rsid w:val="00AA4AC1"/>
    <w:rsid w:val="00AB067B"/>
    <w:rsid w:val="00AB105D"/>
    <w:rsid w:val="00AC0FD5"/>
    <w:rsid w:val="00AC1CE0"/>
    <w:rsid w:val="00AC2283"/>
    <w:rsid w:val="00AC2D69"/>
    <w:rsid w:val="00AC43F4"/>
    <w:rsid w:val="00AE1671"/>
    <w:rsid w:val="00AF529D"/>
    <w:rsid w:val="00B04FFB"/>
    <w:rsid w:val="00B1530D"/>
    <w:rsid w:val="00B21DB0"/>
    <w:rsid w:val="00B22A87"/>
    <w:rsid w:val="00B30917"/>
    <w:rsid w:val="00B32F6B"/>
    <w:rsid w:val="00B33BE9"/>
    <w:rsid w:val="00B34BCC"/>
    <w:rsid w:val="00B35454"/>
    <w:rsid w:val="00B42482"/>
    <w:rsid w:val="00B453F7"/>
    <w:rsid w:val="00B46242"/>
    <w:rsid w:val="00B536C2"/>
    <w:rsid w:val="00B53DA6"/>
    <w:rsid w:val="00B5641E"/>
    <w:rsid w:val="00B606F4"/>
    <w:rsid w:val="00B640F9"/>
    <w:rsid w:val="00B7242E"/>
    <w:rsid w:val="00B77306"/>
    <w:rsid w:val="00B77DDC"/>
    <w:rsid w:val="00B83D93"/>
    <w:rsid w:val="00B87080"/>
    <w:rsid w:val="00B90E88"/>
    <w:rsid w:val="00B91115"/>
    <w:rsid w:val="00B94428"/>
    <w:rsid w:val="00BA13B6"/>
    <w:rsid w:val="00BA4AEB"/>
    <w:rsid w:val="00BA57C0"/>
    <w:rsid w:val="00BB2079"/>
    <w:rsid w:val="00BB2993"/>
    <w:rsid w:val="00BB4D15"/>
    <w:rsid w:val="00BB7A77"/>
    <w:rsid w:val="00BC0782"/>
    <w:rsid w:val="00BC14DE"/>
    <w:rsid w:val="00BC2D78"/>
    <w:rsid w:val="00BC5AB1"/>
    <w:rsid w:val="00BD0BD5"/>
    <w:rsid w:val="00BD2386"/>
    <w:rsid w:val="00BD27C2"/>
    <w:rsid w:val="00BD3372"/>
    <w:rsid w:val="00BD4343"/>
    <w:rsid w:val="00BE0730"/>
    <w:rsid w:val="00BE11BF"/>
    <w:rsid w:val="00BE143D"/>
    <w:rsid w:val="00BE31CE"/>
    <w:rsid w:val="00BE3825"/>
    <w:rsid w:val="00BE4088"/>
    <w:rsid w:val="00BE601A"/>
    <w:rsid w:val="00BE742C"/>
    <w:rsid w:val="00BF2783"/>
    <w:rsid w:val="00BF3CCB"/>
    <w:rsid w:val="00C008EB"/>
    <w:rsid w:val="00C01B37"/>
    <w:rsid w:val="00C043BC"/>
    <w:rsid w:val="00C10E01"/>
    <w:rsid w:val="00C128F1"/>
    <w:rsid w:val="00C146E8"/>
    <w:rsid w:val="00C1615C"/>
    <w:rsid w:val="00C204AA"/>
    <w:rsid w:val="00C238B3"/>
    <w:rsid w:val="00C320E1"/>
    <w:rsid w:val="00C35764"/>
    <w:rsid w:val="00C42669"/>
    <w:rsid w:val="00C42BA1"/>
    <w:rsid w:val="00C42E98"/>
    <w:rsid w:val="00C45802"/>
    <w:rsid w:val="00C45B30"/>
    <w:rsid w:val="00C45B99"/>
    <w:rsid w:val="00C473B1"/>
    <w:rsid w:val="00C539F0"/>
    <w:rsid w:val="00C54C19"/>
    <w:rsid w:val="00C56D14"/>
    <w:rsid w:val="00C601F9"/>
    <w:rsid w:val="00C67E9C"/>
    <w:rsid w:val="00C73E69"/>
    <w:rsid w:val="00C77F99"/>
    <w:rsid w:val="00C824BB"/>
    <w:rsid w:val="00C84DB9"/>
    <w:rsid w:val="00C9047D"/>
    <w:rsid w:val="00C9436A"/>
    <w:rsid w:val="00C949C0"/>
    <w:rsid w:val="00CA12F0"/>
    <w:rsid w:val="00CA4302"/>
    <w:rsid w:val="00CB0360"/>
    <w:rsid w:val="00CB04BD"/>
    <w:rsid w:val="00CB3981"/>
    <w:rsid w:val="00CB7464"/>
    <w:rsid w:val="00CD0D5A"/>
    <w:rsid w:val="00CD19ED"/>
    <w:rsid w:val="00CD2B08"/>
    <w:rsid w:val="00CD3AC2"/>
    <w:rsid w:val="00CE2076"/>
    <w:rsid w:val="00CE253F"/>
    <w:rsid w:val="00CE4554"/>
    <w:rsid w:val="00CE5550"/>
    <w:rsid w:val="00CF0866"/>
    <w:rsid w:val="00D04256"/>
    <w:rsid w:val="00D061C8"/>
    <w:rsid w:val="00D06952"/>
    <w:rsid w:val="00D12A49"/>
    <w:rsid w:val="00D20332"/>
    <w:rsid w:val="00D203EA"/>
    <w:rsid w:val="00D222A3"/>
    <w:rsid w:val="00D25527"/>
    <w:rsid w:val="00D30251"/>
    <w:rsid w:val="00D34ADE"/>
    <w:rsid w:val="00D43092"/>
    <w:rsid w:val="00D47B08"/>
    <w:rsid w:val="00D51177"/>
    <w:rsid w:val="00D514C2"/>
    <w:rsid w:val="00D51DDB"/>
    <w:rsid w:val="00D60868"/>
    <w:rsid w:val="00D63E52"/>
    <w:rsid w:val="00D64159"/>
    <w:rsid w:val="00D705A6"/>
    <w:rsid w:val="00D73D95"/>
    <w:rsid w:val="00D84E91"/>
    <w:rsid w:val="00D84FEB"/>
    <w:rsid w:val="00D856A0"/>
    <w:rsid w:val="00D95E20"/>
    <w:rsid w:val="00DA2A08"/>
    <w:rsid w:val="00DA521E"/>
    <w:rsid w:val="00DA63FC"/>
    <w:rsid w:val="00DA6638"/>
    <w:rsid w:val="00DA788F"/>
    <w:rsid w:val="00DB6EE3"/>
    <w:rsid w:val="00DB7830"/>
    <w:rsid w:val="00DC6B89"/>
    <w:rsid w:val="00DD43AF"/>
    <w:rsid w:val="00DD755F"/>
    <w:rsid w:val="00DE02DD"/>
    <w:rsid w:val="00DE2F68"/>
    <w:rsid w:val="00DF7DFE"/>
    <w:rsid w:val="00DF7F91"/>
    <w:rsid w:val="00DF7FD4"/>
    <w:rsid w:val="00E15D71"/>
    <w:rsid w:val="00E169B0"/>
    <w:rsid w:val="00E220BA"/>
    <w:rsid w:val="00E221F1"/>
    <w:rsid w:val="00E263C8"/>
    <w:rsid w:val="00E27FA3"/>
    <w:rsid w:val="00E31FE2"/>
    <w:rsid w:val="00E3452A"/>
    <w:rsid w:val="00E3511A"/>
    <w:rsid w:val="00E3711F"/>
    <w:rsid w:val="00E376DF"/>
    <w:rsid w:val="00E42E59"/>
    <w:rsid w:val="00E43BC8"/>
    <w:rsid w:val="00E46782"/>
    <w:rsid w:val="00E47B72"/>
    <w:rsid w:val="00E47BB9"/>
    <w:rsid w:val="00E51E28"/>
    <w:rsid w:val="00E5468B"/>
    <w:rsid w:val="00E57459"/>
    <w:rsid w:val="00E6569B"/>
    <w:rsid w:val="00E73BA6"/>
    <w:rsid w:val="00E74149"/>
    <w:rsid w:val="00E80645"/>
    <w:rsid w:val="00E87237"/>
    <w:rsid w:val="00E87B75"/>
    <w:rsid w:val="00EA13BF"/>
    <w:rsid w:val="00EA143A"/>
    <w:rsid w:val="00EA3E46"/>
    <w:rsid w:val="00EB4482"/>
    <w:rsid w:val="00EC1A15"/>
    <w:rsid w:val="00ED70FE"/>
    <w:rsid w:val="00EE1F04"/>
    <w:rsid w:val="00EE63A3"/>
    <w:rsid w:val="00EE6E43"/>
    <w:rsid w:val="00EF6205"/>
    <w:rsid w:val="00F0050B"/>
    <w:rsid w:val="00F112FD"/>
    <w:rsid w:val="00F201A1"/>
    <w:rsid w:val="00F2451C"/>
    <w:rsid w:val="00F262D1"/>
    <w:rsid w:val="00F275E1"/>
    <w:rsid w:val="00F30D14"/>
    <w:rsid w:val="00F32397"/>
    <w:rsid w:val="00F35B80"/>
    <w:rsid w:val="00F5003F"/>
    <w:rsid w:val="00F52B69"/>
    <w:rsid w:val="00F70015"/>
    <w:rsid w:val="00F702F6"/>
    <w:rsid w:val="00F76248"/>
    <w:rsid w:val="00F825D4"/>
    <w:rsid w:val="00F82DB3"/>
    <w:rsid w:val="00F82F92"/>
    <w:rsid w:val="00F917BC"/>
    <w:rsid w:val="00F929A3"/>
    <w:rsid w:val="00F94285"/>
    <w:rsid w:val="00FA32A7"/>
    <w:rsid w:val="00FA344D"/>
    <w:rsid w:val="00FB0002"/>
    <w:rsid w:val="00FB6C89"/>
    <w:rsid w:val="00FB7818"/>
    <w:rsid w:val="00FC01CD"/>
    <w:rsid w:val="00FC3A5C"/>
    <w:rsid w:val="00FC4E32"/>
    <w:rsid w:val="00FC532F"/>
    <w:rsid w:val="00FC6D49"/>
    <w:rsid w:val="00FD1E02"/>
    <w:rsid w:val="00FD217E"/>
    <w:rsid w:val="00FE09DF"/>
    <w:rsid w:val="00FE2DB3"/>
    <w:rsid w:val="00FE5C52"/>
    <w:rsid w:val="00FE64B4"/>
    <w:rsid w:val="00FF4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A92"/>
    <w:pPr>
      <w:spacing w:after="200" w:line="276" w:lineRule="auto"/>
    </w:pPr>
    <w:rPr>
      <w:rFonts w:ascii="Calibri" w:eastAsia="Calibri" w:hAnsi="Calibr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Kopfzeile">
    <w:name w:val="header"/>
    <w:basedOn w:val="Standard"/>
    <w:link w:val="KopfzeileZchn"/>
    <w:unhideWhenUsed/>
    <w:rsid w:val="00FF4343"/>
    <w:pPr>
      <w:tabs>
        <w:tab w:val="center" w:pos="4536"/>
        <w:tab w:val="right" w:pos="9072"/>
      </w:tabs>
    </w:pPr>
  </w:style>
  <w:style w:type="character" w:customStyle="1" w:styleId="KopfzeileZchn">
    <w:name w:val="Kopfzeile Zchn"/>
    <w:link w:val="Kopfzeile"/>
    <w:rsid w:val="00FF4343"/>
    <w:rPr>
      <w:color w:val="000000"/>
      <w:sz w:val="24"/>
      <w:lang w:eastAsia="en-US" w:bidi="ar-SA"/>
    </w:rPr>
  </w:style>
  <w:style w:type="paragraph" w:styleId="Fuzeile">
    <w:name w:val="footer"/>
    <w:basedOn w:val="Standard"/>
    <w:link w:val="FuzeileZchn"/>
    <w:unhideWhenUsed/>
    <w:rsid w:val="00FF4343"/>
    <w:pPr>
      <w:tabs>
        <w:tab w:val="center" w:pos="4536"/>
        <w:tab w:val="right" w:pos="9072"/>
      </w:tabs>
    </w:pPr>
  </w:style>
  <w:style w:type="character" w:customStyle="1" w:styleId="FuzeileZchn">
    <w:name w:val="Fußzeile Zchn"/>
    <w:link w:val="Fuzeile"/>
    <w:uiPriority w:val="99"/>
    <w:rsid w:val="00FF4343"/>
    <w:rPr>
      <w:color w:val="000000"/>
      <w:sz w:val="24"/>
      <w:lang w:eastAsia="en-US" w:bidi="ar-SA"/>
    </w:rPr>
  </w:style>
  <w:style w:type="paragraph" w:customStyle="1" w:styleId="Default">
    <w:name w:val="Default"/>
    <w:rsid w:val="00FF4343"/>
    <w:pPr>
      <w:autoSpaceDE w:val="0"/>
      <w:autoSpaceDN w:val="0"/>
      <w:adjustRightInd w:val="0"/>
    </w:pPr>
    <w:rPr>
      <w:rFonts w:eastAsia="MS Mincho"/>
      <w:color w:val="000000"/>
      <w:sz w:val="24"/>
      <w:szCs w:val="24"/>
      <w:lang w:val="en-US" w:eastAsia="ja-JP"/>
    </w:rPr>
  </w:style>
  <w:style w:type="character" w:styleId="Hyperlink">
    <w:name w:val="Hyperlink"/>
    <w:uiPriority w:val="99"/>
    <w:rsid w:val="00FF4343"/>
    <w:rPr>
      <w:color w:val="0000FF"/>
      <w:u w:val="single"/>
    </w:rPr>
  </w:style>
  <w:style w:type="paragraph" w:customStyle="1" w:styleId="text">
    <w:name w:val="text"/>
    <w:basedOn w:val="Standard"/>
    <w:rsid w:val="00FF4343"/>
    <w:pPr>
      <w:spacing w:line="360" w:lineRule="exact"/>
    </w:pPr>
    <w:rPr>
      <w:lang w:eastAsia="de-DE"/>
    </w:rPr>
  </w:style>
  <w:style w:type="paragraph" w:styleId="Sprechblasentext">
    <w:name w:val="Balloon Text"/>
    <w:basedOn w:val="Standard"/>
    <w:link w:val="SprechblasentextZchn"/>
    <w:uiPriority w:val="99"/>
    <w:semiHidden/>
    <w:unhideWhenUsed/>
    <w:rsid w:val="003322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210"/>
    <w:rPr>
      <w:rFonts w:ascii="Tahoma" w:eastAsia="Calibri" w:hAnsi="Tahoma" w:cs="Tahoma"/>
      <w:sz w:val="16"/>
      <w:szCs w:val="16"/>
      <w:lang w:val="en-GB" w:eastAsia="en-US"/>
    </w:rPr>
  </w:style>
  <w:style w:type="paragraph" w:styleId="Funotentext">
    <w:name w:val="footnote text"/>
    <w:basedOn w:val="Standard"/>
    <w:link w:val="FunotentextZchn"/>
    <w:uiPriority w:val="99"/>
    <w:semiHidden/>
    <w:unhideWhenUsed/>
    <w:rsid w:val="00082F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82F94"/>
    <w:rPr>
      <w:rFonts w:ascii="Calibri" w:eastAsia="Calibri" w:hAnsi="Calibri"/>
      <w:lang w:val="en-GB" w:eastAsia="en-US"/>
    </w:rPr>
  </w:style>
  <w:style w:type="character" w:styleId="Funotenzeichen">
    <w:name w:val="footnote reference"/>
    <w:basedOn w:val="Absatz-Standardschriftart"/>
    <w:uiPriority w:val="99"/>
    <w:semiHidden/>
    <w:unhideWhenUsed/>
    <w:rsid w:val="00082F94"/>
    <w:rPr>
      <w:vertAlign w:val="superscript"/>
    </w:rPr>
  </w:style>
  <w:style w:type="paragraph" w:styleId="Listenabsatz">
    <w:name w:val="List Paragraph"/>
    <w:basedOn w:val="Standard"/>
    <w:uiPriority w:val="34"/>
    <w:qFormat/>
    <w:rsid w:val="00801B1E"/>
    <w:pPr>
      <w:ind w:left="720"/>
      <w:contextualSpacing/>
    </w:pPr>
  </w:style>
  <w:style w:type="character" w:styleId="BesuchterHyperlink">
    <w:name w:val="FollowedHyperlink"/>
    <w:basedOn w:val="Absatz-Standardschriftart"/>
    <w:uiPriority w:val="99"/>
    <w:semiHidden/>
    <w:unhideWhenUsed/>
    <w:rsid w:val="00461A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A92"/>
    <w:pPr>
      <w:spacing w:after="200" w:line="276" w:lineRule="auto"/>
    </w:pPr>
    <w:rPr>
      <w:rFonts w:ascii="Calibri" w:eastAsia="Calibri" w:hAnsi="Calibr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Kopfzeile">
    <w:name w:val="header"/>
    <w:basedOn w:val="Standard"/>
    <w:link w:val="KopfzeileZchn"/>
    <w:unhideWhenUsed/>
    <w:rsid w:val="00FF4343"/>
    <w:pPr>
      <w:tabs>
        <w:tab w:val="center" w:pos="4536"/>
        <w:tab w:val="right" w:pos="9072"/>
      </w:tabs>
    </w:pPr>
  </w:style>
  <w:style w:type="character" w:customStyle="1" w:styleId="KopfzeileZchn">
    <w:name w:val="Kopfzeile Zchn"/>
    <w:link w:val="Kopfzeile"/>
    <w:rsid w:val="00FF4343"/>
    <w:rPr>
      <w:color w:val="000000"/>
      <w:sz w:val="24"/>
      <w:lang w:eastAsia="en-US" w:bidi="ar-SA"/>
    </w:rPr>
  </w:style>
  <w:style w:type="paragraph" w:styleId="Fuzeile">
    <w:name w:val="footer"/>
    <w:basedOn w:val="Standard"/>
    <w:link w:val="FuzeileZchn"/>
    <w:unhideWhenUsed/>
    <w:rsid w:val="00FF4343"/>
    <w:pPr>
      <w:tabs>
        <w:tab w:val="center" w:pos="4536"/>
        <w:tab w:val="right" w:pos="9072"/>
      </w:tabs>
    </w:pPr>
  </w:style>
  <w:style w:type="character" w:customStyle="1" w:styleId="FuzeileZchn">
    <w:name w:val="Fußzeile Zchn"/>
    <w:link w:val="Fuzeile"/>
    <w:uiPriority w:val="99"/>
    <w:rsid w:val="00FF4343"/>
    <w:rPr>
      <w:color w:val="000000"/>
      <w:sz w:val="24"/>
      <w:lang w:eastAsia="en-US" w:bidi="ar-SA"/>
    </w:rPr>
  </w:style>
  <w:style w:type="paragraph" w:customStyle="1" w:styleId="Default">
    <w:name w:val="Default"/>
    <w:rsid w:val="00FF4343"/>
    <w:pPr>
      <w:autoSpaceDE w:val="0"/>
      <w:autoSpaceDN w:val="0"/>
      <w:adjustRightInd w:val="0"/>
    </w:pPr>
    <w:rPr>
      <w:rFonts w:eastAsia="MS Mincho"/>
      <w:color w:val="000000"/>
      <w:sz w:val="24"/>
      <w:szCs w:val="24"/>
      <w:lang w:val="en-US" w:eastAsia="ja-JP"/>
    </w:rPr>
  </w:style>
  <w:style w:type="character" w:styleId="Hyperlink">
    <w:name w:val="Hyperlink"/>
    <w:uiPriority w:val="99"/>
    <w:rsid w:val="00FF4343"/>
    <w:rPr>
      <w:color w:val="0000FF"/>
      <w:u w:val="single"/>
    </w:rPr>
  </w:style>
  <w:style w:type="paragraph" w:customStyle="1" w:styleId="text">
    <w:name w:val="text"/>
    <w:basedOn w:val="Standard"/>
    <w:rsid w:val="00FF4343"/>
    <w:pPr>
      <w:spacing w:line="360" w:lineRule="exact"/>
    </w:pPr>
    <w:rPr>
      <w:lang w:eastAsia="de-DE"/>
    </w:rPr>
  </w:style>
  <w:style w:type="paragraph" w:styleId="Sprechblasentext">
    <w:name w:val="Balloon Text"/>
    <w:basedOn w:val="Standard"/>
    <w:link w:val="SprechblasentextZchn"/>
    <w:uiPriority w:val="99"/>
    <w:semiHidden/>
    <w:unhideWhenUsed/>
    <w:rsid w:val="003322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210"/>
    <w:rPr>
      <w:rFonts w:ascii="Tahoma" w:eastAsia="Calibri" w:hAnsi="Tahoma" w:cs="Tahoma"/>
      <w:sz w:val="16"/>
      <w:szCs w:val="16"/>
      <w:lang w:val="en-GB" w:eastAsia="en-US"/>
    </w:rPr>
  </w:style>
  <w:style w:type="paragraph" w:styleId="Funotentext">
    <w:name w:val="footnote text"/>
    <w:basedOn w:val="Standard"/>
    <w:link w:val="FunotentextZchn"/>
    <w:uiPriority w:val="99"/>
    <w:semiHidden/>
    <w:unhideWhenUsed/>
    <w:rsid w:val="00082F9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82F94"/>
    <w:rPr>
      <w:rFonts w:ascii="Calibri" w:eastAsia="Calibri" w:hAnsi="Calibri"/>
      <w:lang w:val="en-GB" w:eastAsia="en-US"/>
    </w:rPr>
  </w:style>
  <w:style w:type="character" w:styleId="Funotenzeichen">
    <w:name w:val="footnote reference"/>
    <w:basedOn w:val="Absatz-Standardschriftart"/>
    <w:uiPriority w:val="99"/>
    <w:semiHidden/>
    <w:unhideWhenUsed/>
    <w:rsid w:val="00082F94"/>
    <w:rPr>
      <w:vertAlign w:val="superscript"/>
    </w:rPr>
  </w:style>
  <w:style w:type="paragraph" w:styleId="Listenabsatz">
    <w:name w:val="List Paragraph"/>
    <w:basedOn w:val="Standard"/>
    <w:uiPriority w:val="34"/>
    <w:qFormat/>
    <w:rsid w:val="00801B1E"/>
    <w:pPr>
      <w:ind w:left="720"/>
      <w:contextualSpacing/>
    </w:pPr>
  </w:style>
  <w:style w:type="character" w:styleId="BesuchterHyperlink">
    <w:name w:val="FollowedHyperlink"/>
    <w:basedOn w:val="Absatz-Standardschriftart"/>
    <w:uiPriority w:val="99"/>
    <w:semiHidden/>
    <w:unhideWhenUsed/>
    <w:rsid w:val="00461A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a01.safelinks.protection.outlook.com/?url=http://www.dow-dupont.com&amp;data=02%7c01%7cYSchikorra@dow.com%7c8c8819882ed941124ac208d4f92fec98%7cc3e32f53cb7f4809968d1cc4ccc785fe%7c0%7c0%7c636407431625648104&amp;sdata=TgVR9cCToSJyJUU/xPsAsuSKMLxlQUsqNA5FYlfXAvU=&amp;reserved=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ow-dupont.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DuPont%20PM%20DPP_GER_A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1E46E-A238-40FC-9E1C-825BD80D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DuPont PM DPP_GER_AW.dot</Template>
  <TotalTime>0</TotalTime>
  <Pages>3</Pages>
  <Words>912</Words>
  <Characters>6712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Konsens</Company>
  <LinksUpToDate>false</LinksUpToDate>
  <CharactersWithSpaces>7609</CharactersWithSpaces>
  <SharedDoc>false</SharedDoc>
  <HLinks>
    <vt:vector size="12" baseType="variant">
      <vt:variant>
        <vt:i4>6488123</vt:i4>
      </vt:variant>
      <vt:variant>
        <vt:i4>3</vt:i4>
      </vt:variant>
      <vt:variant>
        <vt:i4>0</vt:i4>
      </vt:variant>
      <vt:variant>
        <vt:i4>5</vt:i4>
      </vt:variant>
      <vt:variant>
        <vt:lpwstr>http://de.news.dupont.com/</vt:lpwstr>
      </vt:variant>
      <vt:variant>
        <vt:lpwstr/>
      </vt:variant>
      <vt:variant>
        <vt:i4>4128816</vt:i4>
      </vt:variant>
      <vt:variant>
        <vt:i4>0</vt:i4>
      </vt:variant>
      <vt:variant>
        <vt:i4>0</vt:i4>
      </vt:variant>
      <vt:variant>
        <vt:i4>5</vt:i4>
      </vt:variant>
      <vt:variant>
        <vt:lpwstr>http://www.dupont.com/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Barbara Welsch</cp:lastModifiedBy>
  <cp:revision>187</cp:revision>
  <cp:lastPrinted>2017-10-05T09:57:00Z</cp:lastPrinted>
  <dcterms:created xsi:type="dcterms:W3CDTF">2017-07-19T13:53:00Z</dcterms:created>
  <dcterms:modified xsi:type="dcterms:W3CDTF">2017-10-11T07:39:00Z</dcterms:modified>
</cp:coreProperties>
</file>