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gridCol w:w="4961"/>
      </w:tblGrid>
      <w:tr w:rsidR="005512F8" w:rsidRPr="007D292B" w:rsidTr="00AE3432">
        <w:tc>
          <w:tcPr>
            <w:tcW w:w="4219" w:type="dxa"/>
            <w:shd w:val="clear" w:color="auto" w:fill="auto"/>
            <w:vAlign w:val="bottom"/>
          </w:tcPr>
          <w:p w:rsidR="004272AA" w:rsidRPr="007D292B" w:rsidRDefault="004272AA" w:rsidP="001D6F96">
            <w:pPr>
              <w:pStyle w:val="Pressemitteilung"/>
              <w:tabs>
                <w:tab w:val="right" w:pos="8647"/>
              </w:tabs>
              <w:spacing w:before="0" w:after="0"/>
              <w:ind w:right="851"/>
              <w:rPr>
                <w:sz w:val="16"/>
                <w:szCs w:val="16"/>
                <w:lang w:val="fr-FR"/>
              </w:rPr>
            </w:pPr>
            <w:r w:rsidRPr="007D292B">
              <w:rPr>
                <w:sz w:val="16"/>
                <w:szCs w:val="16"/>
                <w:lang w:val="fr-FR"/>
              </w:rPr>
              <w:t xml:space="preserve"> </w:t>
            </w:r>
            <w:r w:rsidRPr="007D292B">
              <w:rPr>
                <w:noProof/>
                <w:sz w:val="16"/>
                <w:szCs w:val="16"/>
              </w:rPr>
              <w:drawing>
                <wp:inline distT="0" distB="0" distL="0" distR="0" wp14:anchorId="0A283680" wp14:editId="43BF793B">
                  <wp:extent cx="1250900" cy="1430809"/>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_für_PM_mit_Dat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2171" cy="1432262"/>
                          </a:xfrm>
                          <a:prstGeom prst="rect">
                            <a:avLst/>
                          </a:prstGeom>
                        </pic:spPr>
                      </pic:pic>
                    </a:graphicData>
                  </a:graphic>
                </wp:inline>
              </w:drawing>
            </w:r>
            <w:r w:rsidRPr="007D292B">
              <w:rPr>
                <w:sz w:val="16"/>
                <w:szCs w:val="16"/>
                <w:lang w:val="fr-FR"/>
              </w:rPr>
              <w:br/>
            </w:r>
            <w:r w:rsidR="004B0E8C" w:rsidRPr="007D292B">
              <w:rPr>
                <w:sz w:val="24"/>
                <w:szCs w:val="24"/>
                <w:lang w:val="fr-FR"/>
              </w:rPr>
              <w:t>Hall</w:t>
            </w:r>
            <w:r w:rsidRPr="007D292B">
              <w:rPr>
                <w:sz w:val="24"/>
                <w:szCs w:val="24"/>
                <w:lang w:val="fr-FR"/>
              </w:rPr>
              <w:t xml:space="preserve"> 9, Stand B22</w:t>
            </w:r>
          </w:p>
        </w:tc>
        <w:tc>
          <w:tcPr>
            <w:tcW w:w="4961" w:type="dxa"/>
            <w:shd w:val="clear" w:color="auto" w:fill="auto"/>
          </w:tcPr>
          <w:p w:rsidR="005512F8" w:rsidRPr="007D292B" w:rsidRDefault="004B0E8C" w:rsidP="00AE3432">
            <w:pPr>
              <w:pStyle w:val="Pressemitteilung"/>
              <w:tabs>
                <w:tab w:val="right" w:pos="8647"/>
              </w:tabs>
              <w:spacing w:before="0" w:after="0"/>
              <w:jc w:val="right"/>
              <w:rPr>
                <w:sz w:val="32"/>
                <w:szCs w:val="48"/>
                <w:lang w:val="fr-FR"/>
              </w:rPr>
            </w:pPr>
            <w:r w:rsidRPr="007D292B">
              <w:rPr>
                <w:sz w:val="32"/>
                <w:szCs w:val="48"/>
                <w:lang w:val="fr-FR"/>
              </w:rPr>
              <w:t>Communiqué de presse</w:t>
            </w:r>
          </w:p>
          <w:p w:rsidR="004272AA" w:rsidRPr="007D292B" w:rsidRDefault="004272AA" w:rsidP="00AE3432">
            <w:pPr>
              <w:pStyle w:val="Pressemitteilung"/>
              <w:tabs>
                <w:tab w:val="right" w:pos="8647"/>
              </w:tabs>
              <w:spacing w:before="0" w:after="0"/>
              <w:jc w:val="right"/>
              <w:rPr>
                <w:sz w:val="22"/>
                <w:szCs w:val="22"/>
                <w:lang w:val="fr-FR"/>
              </w:rPr>
            </w:pPr>
          </w:p>
          <w:p w:rsidR="008B64C6" w:rsidRPr="007D292B" w:rsidRDefault="008B64C6" w:rsidP="00AE3432">
            <w:pPr>
              <w:pStyle w:val="Pressemitteilung"/>
              <w:tabs>
                <w:tab w:val="right" w:pos="8647"/>
              </w:tabs>
              <w:spacing w:before="0" w:after="0"/>
              <w:jc w:val="right"/>
              <w:rPr>
                <w:b w:val="0"/>
                <w:sz w:val="22"/>
                <w:szCs w:val="22"/>
                <w:lang w:val="fr-FR"/>
              </w:rPr>
            </w:pPr>
            <w:r w:rsidRPr="007D292B">
              <w:rPr>
                <w:b w:val="0"/>
                <w:sz w:val="22"/>
                <w:szCs w:val="22"/>
                <w:lang w:val="fr-FR"/>
              </w:rPr>
              <w:t xml:space="preserve">MTI </w:t>
            </w:r>
            <w:proofErr w:type="spellStart"/>
            <w:r w:rsidRPr="007D292B">
              <w:rPr>
                <w:b w:val="0"/>
                <w:sz w:val="22"/>
                <w:szCs w:val="22"/>
                <w:lang w:val="fr-FR"/>
              </w:rPr>
              <w:t>Mischtechnik</w:t>
            </w:r>
            <w:proofErr w:type="spellEnd"/>
            <w:r w:rsidRPr="007D292B">
              <w:rPr>
                <w:b w:val="0"/>
                <w:sz w:val="22"/>
                <w:szCs w:val="22"/>
                <w:lang w:val="fr-FR"/>
              </w:rPr>
              <w:t xml:space="preserve"> International GmbH</w:t>
            </w:r>
          </w:p>
          <w:p w:rsidR="008B64C6" w:rsidRPr="00866C6D" w:rsidRDefault="008B64C6" w:rsidP="00AE3432">
            <w:pPr>
              <w:pStyle w:val="Pressemitteilung"/>
              <w:tabs>
                <w:tab w:val="right" w:pos="8647"/>
              </w:tabs>
              <w:spacing w:before="0" w:after="0"/>
              <w:jc w:val="right"/>
              <w:rPr>
                <w:b w:val="0"/>
                <w:sz w:val="22"/>
                <w:szCs w:val="22"/>
                <w:lang w:val="en-US"/>
              </w:rPr>
            </w:pPr>
            <w:r w:rsidRPr="00866C6D">
              <w:rPr>
                <w:b w:val="0"/>
                <w:sz w:val="22"/>
                <w:szCs w:val="22"/>
                <w:lang w:val="en-US"/>
              </w:rPr>
              <w:t>Katharina Nowak</w:t>
            </w:r>
          </w:p>
          <w:p w:rsidR="00AE3432" w:rsidRDefault="008B64C6" w:rsidP="00AE3432">
            <w:pPr>
              <w:pStyle w:val="Pressemitteilung"/>
              <w:tabs>
                <w:tab w:val="right" w:pos="8647"/>
              </w:tabs>
              <w:spacing w:before="0" w:after="0"/>
              <w:jc w:val="right"/>
              <w:rPr>
                <w:lang w:val="en-US"/>
              </w:rPr>
            </w:pPr>
            <w:proofErr w:type="spellStart"/>
            <w:r w:rsidRPr="00866C6D">
              <w:rPr>
                <w:b w:val="0"/>
                <w:sz w:val="22"/>
                <w:szCs w:val="22"/>
                <w:lang w:val="en-US"/>
              </w:rPr>
              <w:t>Ohmstraße</w:t>
            </w:r>
            <w:proofErr w:type="spellEnd"/>
            <w:r w:rsidRPr="00866C6D">
              <w:rPr>
                <w:b w:val="0"/>
                <w:sz w:val="22"/>
                <w:szCs w:val="22"/>
                <w:lang w:val="en-US"/>
              </w:rPr>
              <w:t xml:space="preserve"> 8,  D-32758 Detmold</w:t>
            </w:r>
            <w:r w:rsidR="00AE3432">
              <w:rPr>
                <w:b w:val="0"/>
                <w:sz w:val="22"/>
                <w:szCs w:val="22"/>
                <w:lang w:val="en-US"/>
              </w:rPr>
              <w:t xml:space="preserve">, </w:t>
            </w:r>
            <w:proofErr w:type="spellStart"/>
            <w:r w:rsidR="004B0E8C" w:rsidRPr="00866C6D">
              <w:rPr>
                <w:b w:val="0"/>
                <w:sz w:val="22"/>
                <w:szCs w:val="22"/>
                <w:lang w:val="en-US"/>
              </w:rPr>
              <w:t>Allemagne</w:t>
            </w:r>
            <w:proofErr w:type="spellEnd"/>
          </w:p>
          <w:p w:rsidR="008B64C6" w:rsidRPr="00AE3432" w:rsidRDefault="004B0E8C" w:rsidP="00AE3432">
            <w:pPr>
              <w:pStyle w:val="Pressemitteilung"/>
              <w:tabs>
                <w:tab w:val="right" w:pos="8647"/>
              </w:tabs>
              <w:spacing w:before="0" w:after="0"/>
              <w:jc w:val="right"/>
              <w:rPr>
                <w:lang w:val="en-US"/>
              </w:rPr>
            </w:pPr>
            <w:r w:rsidRPr="007D292B">
              <w:rPr>
                <w:b w:val="0"/>
                <w:sz w:val="22"/>
                <w:szCs w:val="22"/>
                <w:lang w:val="fr-FR"/>
              </w:rPr>
              <w:t>Té</w:t>
            </w:r>
            <w:r w:rsidR="008B64C6" w:rsidRPr="007D292B">
              <w:rPr>
                <w:b w:val="0"/>
                <w:sz w:val="22"/>
                <w:szCs w:val="22"/>
                <w:lang w:val="fr-FR"/>
              </w:rPr>
              <w:t>l.</w:t>
            </w:r>
            <w:r w:rsidRPr="007D292B">
              <w:rPr>
                <w:b w:val="0"/>
                <w:sz w:val="22"/>
                <w:szCs w:val="22"/>
                <w:lang w:val="fr-FR"/>
              </w:rPr>
              <w:t> </w:t>
            </w:r>
            <w:proofErr w:type="gramStart"/>
            <w:r w:rsidR="008B64C6" w:rsidRPr="007D292B">
              <w:rPr>
                <w:b w:val="0"/>
                <w:sz w:val="22"/>
                <w:szCs w:val="22"/>
                <w:lang w:val="fr-FR"/>
              </w:rPr>
              <w:t>:  +</w:t>
            </w:r>
            <w:proofErr w:type="gramEnd"/>
            <w:r w:rsidR="008B64C6" w:rsidRPr="007D292B">
              <w:rPr>
                <w:b w:val="0"/>
                <w:sz w:val="22"/>
                <w:szCs w:val="22"/>
                <w:lang w:val="fr-FR"/>
              </w:rPr>
              <w:t>49 (5231) 914-113</w:t>
            </w:r>
          </w:p>
          <w:p w:rsidR="008B64C6" w:rsidRPr="007D292B" w:rsidRDefault="008B64C6" w:rsidP="00AE3432">
            <w:pPr>
              <w:pStyle w:val="Pressemitteilung"/>
              <w:tabs>
                <w:tab w:val="right" w:pos="8647"/>
              </w:tabs>
              <w:spacing w:before="0" w:after="0"/>
              <w:jc w:val="right"/>
              <w:rPr>
                <w:b w:val="0"/>
                <w:sz w:val="22"/>
                <w:szCs w:val="22"/>
                <w:lang w:val="fr-FR"/>
              </w:rPr>
            </w:pPr>
            <w:r w:rsidRPr="007D292B">
              <w:rPr>
                <w:b w:val="0"/>
                <w:sz w:val="22"/>
                <w:szCs w:val="22"/>
                <w:lang w:val="fr-FR"/>
              </w:rPr>
              <w:t>Fax</w:t>
            </w:r>
            <w:r w:rsidR="004B0E8C" w:rsidRPr="007D292B">
              <w:rPr>
                <w:b w:val="0"/>
                <w:sz w:val="22"/>
                <w:szCs w:val="22"/>
                <w:lang w:val="fr-FR"/>
              </w:rPr>
              <w:t> </w:t>
            </w:r>
            <w:proofErr w:type="gramStart"/>
            <w:r w:rsidRPr="007D292B">
              <w:rPr>
                <w:b w:val="0"/>
                <w:sz w:val="22"/>
                <w:szCs w:val="22"/>
                <w:lang w:val="fr-FR"/>
              </w:rPr>
              <w:t>:  +</w:t>
            </w:r>
            <w:proofErr w:type="gramEnd"/>
            <w:r w:rsidRPr="007D292B">
              <w:rPr>
                <w:b w:val="0"/>
                <w:sz w:val="22"/>
                <w:szCs w:val="22"/>
                <w:lang w:val="fr-FR"/>
              </w:rPr>
              <w:t>49 (5231) 914-27113</w:t>
            </w:r>
          </w:p>
          <w:p w:rsidR="008B64C6" w:rsidRPr="007D292B" w:rsidRDefault="004B0E8C" w:rsidP="00AE3432">
            <w:pPr>
              <w:pStyle w:val="Pressemitteilung"/>
              <w:tabs>
                <w:tab w:val="right" w:pos="8647"/>
              </w:tabs>
              <w:spacing w:before="0" w:after="0"/>
              <w:jc w:val="right"/>
              <w:rPr>
                <w:b w:val="0"/>
                <w:sz w:val="22"/>
                <w:szCs w:val="22"/>
                <w:lang w:val="fr-FR"/>
              </w:rPr>
            </w:pPr>
            <w:r w:rsidRPr="007D292B">
              <w:rPr>
                <w:b w:val="0"/>
                <w:sz w:val="22"/>
                <w:szCs w:val="22"/>
                <w:lang w:val="fr-FR"/>
              </w:rPr>
              <w:t>E-Mail </w:t>
            </w:r>
            <w:proofErr w:type="gramStart"/>
            <w:r w:rsidR="008B64C6" w:rsidRPr="007D292B">
              <w:rPr>
                <w:b w:val="0"/>
                <w:sz w:val="22"/>
                <w:szCs w:val="22"/>
                <w:lang w:val="fr-FR"/>
              </w:rPr>
              <w:t>:  marketing@mti</w:t>
            </w:r>
            <w:proofErr w:type="gramEnd"/>
            <w:r w:rsidR="008B64C6" w:rsidRPr="007D292B">
              <w:rPr>
                <w:b w:val="0"/>
                <w:sz w:val="22"/>
                <w:szCs w:val="22"/>
                <w:lang w:val="fr-FR"/>
              </w:rPr>
              <w:t>-mixer.de</w:t>
            </w:r>
          </w:p>
          <w:p w:rsidR="004272AA" w:rsidRPr="007D292B" w:rsidRDefault="008B64C6" w:rsidP="00AE3432">
            <w:pPr>
              <w:pStyle w:val="Pressemitteilung"/>
              <w:tabs>
                <w:tab w:val="right" w:pos="8647"/>
              </w:tabs>
              <w:spacing w:before="0" w:after="0"/>
              <w:jc w:val="right"/>
              <w:rPr>
                <w:b w:val="0"/>
                <w:sz w:val="22"/>
                <w:szCs w:val="22"/>
                <w:lang w:val="fr-FR"/>
              </w:rPr>
            </w:pPr>
            <w:r w:rsidRPr="007D292B">
              <w:rPr>
                <w:b w:val="0"/>
                <w:bCs w:val="0"/>
                <w:sz w:val="22"/>
                <w:szCs w:val="22"/>
                <w:lang w:val="fr-FR"/>
              </w:rPr>
              <w:t>Internet</w:t>
            </w:r>
            <w:r w:rsidR="004B0E8C" w:rsidRPr="007D292B">
              <w:rPr>
                <w:b w:val="0"/>
                <w:bCs w:val="0"/>
                <w:sz w:val="22"/>
                <w:szCs w:val="22"/>
                <w:lang w:val="fr-FR"/>
              </w:rPr>
              <w:t> </w:t>
            </w:r>
            <w:proofErr w:type="gramStart"/>
            <w:r w:rsidRPr="007D292B">
              <w:rPr>
                <w:b w:val="0"/>
                <w:bCs w:val="0"/>
                <w:sz w:val="22"/>
                <w:szCs w:val="22"/>
                <w:lang w:val="fr-FR"/>
              </w:rPr>
              <w:t xml:space="preserve">:  </w:t>
            </w:r>
            <w:proofErr w:type="gramEnd"/>
            <w:hyperlink r:id="rId10" w:history="1">
              <w:r w:rsidR="007877C9" w:rsidRPr="007D292B">
                <w:rPr>
                  <w:rStyle w:val="Hyperlink"/>
                  <w:b w:val="0"/>
                  <w:sz w:val="22"/>
                  <w:lang w:val="fr-FR"/>
                </w:rPr>
                <w:t>http://www.mti-mixer.de</w:t>
              </w:r>
            </w:hyperlink>
            <w:r w:rsidR="007877C9" w:rsidRPr="007D292B">
              <w:rPr>
                <w:b w:val="0"/>
                <w:sz w:val="22"/>
                <w:szCs w:val="22"/>
                <w:lang w:val="fr-FR"/>
              </w:rPr>
              <w:t xml:space="preserve"> </w:t>
            </w:r>
          </w:p>
        </w:tc>
      </w:tr>
    </w:tbl>
    <w:p w:rsidR="003F039A" w:rsidRPr="007D292B" w:rsidRDefault="009D3309" w:rsidP="003F039A">
      <w:pPr>
        <w:pStyle w:val="Pressemitteilung"/>
        <w:spacing w:before="480" w:after="0"/>
        <w:ind w:right="565"/>
        <w:rPr>
          <w:sz w:val="48"/>
          <w:szCs w:val="48"/>
          <w:lang w:val="fr-FR"/>
        </w:rPr>
      </w:pPr>
      <w:r>
        <w:rPr>
          <w:sz w:val="28"/>
          <w:szCs w:val="28"/>
          <w:u w:val="single"/>
          <w:lang w:val="fr-FR"/>
        </w:rPr>
        <w:t>Mélangeage 4.0 : le nouveau concept révolutionnaire de</w:t>
      </w:r>
      <w:r w:rsidR="003F039A" w:rsidRPr="007D292B">
        <w:rPr>
          <w:sz w:val="28"/>
          <w:szCs w:val="28"/>
          <w:u w:val="single"/>
          <w:lang w:val="fr-FR"/>
        </w:rPr>
        <w:t xml:space="preserve"> MTI </w:t>
      </w:r>
      <w:proofErr w:type="spellStart"/>
      <w:r w:rsidR="003F039A" w:rsidRPr="007D292B">
        <w:rPr>
          <w:sz w:val="28"/>
          <w:szCs w:val="28"/>
          <w:u w:val="single"/>
          <w:lang w:val="fr-FR"/>
        </w:rPr>
        <w:t>Mischtechnik</w:t>
      </w:r>
      <w:proofErr w:type="spellEnd"/>
      <w:r w:rsidR="003F039A" w:rsidRPr="007D292B">
        <w:rPr>
          <w:sz w:val="36"/>
          <w:szCs w:val="36"/>
          <w:u w:val="single"/>
          <w:lang w:val="fr-FR"/>
        </w:rPr>
        <w:t xml:space="preserve"> </w:t>
      </w:r>
      <w:r w:rsidR="003F039A" w:rsidRPr="007D292B">
        <w:rPr>
          <w:sz w:val="36"/>
          <w:szCs w:val="36"/>
          <w:u w:val="single"/>
          <w:lang w:val="fr-FR"/>
        </w:rPr>
        <w:br/>
      </w:r>
      <w:r>
        <w:rPr>
          <w:sz w:val="48"/>
          <w:szCs w:val="48"/>
          <w:lang w:val="fr-FR"/>
        </w:rPr>
        <w:t xml:space="preserve">Le </w:t>
      </w:r>
      <w:r w:rsidR="003F039A" w:rsidRPr="007D292B">
        <w:rPr>
          <w:sz w:val="48"/>
          <w:szCs w:val="48"/>
          <w:lang w:val="fr-FR"/>
        </w:rPr>
        <w:t>MTI C</w:t>
      </w:r>
      <w:r w:rsidR="004272AA" w:rsidRPr="007D292B">
        <w:rPr>
          <w:sz w:val="48"/>
          <w:szCs w:val="48"/>
          <w:lang w:val="fr-FR"/>
        </w:rPr>
        <w:t> </w:t>
      </w:r>
      <w:r w:rsidR="00A61C3B" w:rsidRPr="007D292B">
        <w:rPr>
          <w:sz w:val="48"/>
          <w:szCs w:val="48"/>
          <w:lang w:val="fr-FR"/>
        </w:rPr>
        <w:t>tec</w:t>
      </w:r>
      <w:r w:rsidR="0004338F" w:rsidRPr="007D292B">
        <w:rPr>
          <w:sz w:val="48"/>
          <w:szCs w:val="48"/>
          <w:lang w:val="fr-FR"/>
        </w:rPr>
        <w:t> </w:t>
      </w:r>
      <w:r w:rsidR="003F039A" w:rsidRPr="007D292B">
        <w:rPr>
          <w:sz w:val="48"/>
          <w:szCs w:val="48"/>
          <w:lang w:val="fr-FR"/>
        </w:rPr>
        <w:t>PRO</w:t>
      </w:r>
      <w:r w:rsidR="003F039A" w:rsidRPr="007D292B">
        <w:rPr>
          <w:sz w:val="48"/>
          <w:szCs w:val="48"/>
          <w:vertAlign w:val="superscript"/>
          <w:lang w:val="fr-FR"/>
        </w:rPr>
        <w:t xml:space="preserve"> </w:t>
      </w:r>
      <w:r>
        <w:rPr>
          <w:sz w:val="48"/>
          <w:szCs w:val="48"/>
          <w:lang w:val="fr-FR"/>
        </w:rPr>
        <w:t>mélange en discontinu, mais sans les temps d’arrêt</w:t>
      </w: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gridCol w:w="3543"/>
      </w:tblGrid>
      <w:tr w:rsidR="00AE3432" w:rsidRPr="00AE3432" w:rsidTr="00AE3432">
        <w:tc>
          <w:tcPr>
            <w:tcW w:w="5763" w:type="dxa"/>
          </w:tcPr>
          <w:p w:rsidR="00AE3432" w:rsidRPr="00AE3432" w:rsidRDefault="00AE3432" w:rsidP="00803FCB">
            <w:pPr>
              <w:pStyle w:val="Text"/>
              <w:rPr>
                <w:lang w:val="fr-FR"/>
              </w:rPr>
            </w:pPr>
            <w:r w:rsidRPr="00AE3432">
              <w:rPr>
                <w:noProof/>
              </w:rPr>
              <w:drawing>
                <wp:inline distT="0" distB="0" distL="0" distR="0" wp14:anchorId="50BAA4EF" wp14:editId="23563F44">
                  <wp:extent cx="3530991" cy="4414313"/>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I_C-tec-PR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7655" cy="4422644"/>
                          </a:xfrm>
                          <a:prstGeom prst="rect">
                            <a:avLst/>
                          </a:prstGeom>
                        </pic:spPr>
                      </pic:pic>
                    </a:graphicData>
                  </a:graphic>
                </wp:inline>
              </w:drawing>
            </w:r>
          </w:p>
        </w:tc>
        <w:tc>
          <w:tcPr>
            <w:tcW w:w="3543" w:type="dxa"/>
            <w:vAlign w:val="bottom"/>
          </w:tcPr>
          <w:p w:rsidR="00AE3432" w:rsidRPr="00AE3432" w:rsidRDefault="00AE3432" w:rsidP="00AE3432">
            <w:pPr>
              <w:pStyle w:val="Text"/>
              <w:tabs>
                <w:tab w:val="left" w:pos="8647"/>
              </w:tabs>
              <w:spacing w:before="0" w:after="120" w:line="240" w:lineRule="auto"/>
              <w:rPr>
                <w:i/>
                <w:noProof/>
                <w:sz w:val="18"/>
                <w:szCs w:val="18"/>
                <w:lang w:val="fr-FR"/>
              </w:rPr>
            </w:pPr>
            <w:r w:rsidRPr="00AE3432">
              <w:rPr>
                <w:i/>
                <w:noProof/>
                <w:sz w:val="18"/>
                <w:szCs w:val="18"/>
                <w:lang w:val="fr-FR"/>
              </w:rPr>
              <w:t>Le nouveau mélangeur de fûts entièrement automatisé C tec PRO de MTI Mischtechnik repose sur le choix raisonné de la séparation du système de fût de mélangeage et de la machine de base. Ce concept permet d’éliminer les temps d’arrêt, à la fois inévitables et onéreux avec les systèmes classiques en configuration fixe, liés au nettoyage lors des changements de recette. Selon le nouveau concept de MTI, le robot du C tec PRO se saisit du prochain fût, dont le couvercle est pré</w:t>
            </w:r>
            <w:r w:rsidRPr="00AE3432">
              <w:rPr>
                <w:i/>
                <w:noProof/>
                <w:sz w:val="18"/>
                <w:szCs w:val="18"/>
                <w:lang w:val="fr-FR"/>
              </w:rPr>
              <w:noBreakHyphen/>
              <w:t xml:space="preserve">équipé de l’outil de mélangeage adéquat, et démarre immédiatement la tâche de mélangeage programmée. </w:t>
            </w:r>
            <w:r>
              <w:rPr>
                <w:i/>
                <w:noProof/>
                <w:sz w:val="18"/>
                <w:szCs w:val="18"/>
                <w:lang w:val="fr-FR"/>
              </w:rPr>
              <w:br/>
            </w:r>
            <w:bookmarkStart w:id="0" w:name="_GoBack"/>
            <w:bookmarkEnd w:id="0"/>
            <w:r w:rsidRPr="00AE3432">
              <w:rPr>
                <w:i/>
                <w:noProof/>
                <w:sz w:val="18"/>
                <w:szCs w:val="18"/>
                <w:lang w:val="fr-FR"/>
              </w:rPr>
              <w:t>© MTI Mischtechnik</w:t>
            </w:r>
          </w:p>
        </w:tc>
      </w:tr>
    </w:tbl>
    <w:p w:rsidR="004B0E8C" w:rsidRPr="007D292B" w:rsidRDefault="00AE3432" w:rsidP="00AE3432">
      <w:pPr>
        <w:pStyle w:val="Text"/>
        <w:spacing w:line="360" w:lineRule="exact"/>
        <w:ind w:right="851"/>
        <w:rPr>
          <w:lang w:val="fr-FR"/>
        </w:rPr>
      </w:pPr>
      <w:r w:rsidRPr="00AE3432">
        <w:rPr>
          <w:lang w:val="fr-FR"/>
        </w:rPr>
        <w:t xml:space="preserve">Detmold et Düsseldorf (Allemagne), le 19 octobre </w:t>
      </w:r>
      <w:r w:rsidR="00BF3E22" w:rsidRPr="007D292B">
        <w:rPr>
          <w:lang w:val="fr-FR"/>
        </w:rPr>
        <w:t>2016 –</w:t>
      </w:r>
      <w:r w:rsidR="0004338F" w:rsidRPr="007D292B">
        <w:rPr>
          <w:lang w:val="fr-FR"/>
        </w:rPr>
        <w:t xml:space="preserve"> </w:t>
      </w:r>
      <w:r w:rsidR="004B0E8C" w:rsidRPr="007D292B">
        <w:rPr>
          <w:lang w:val="fr-FR"/>
        </w:rPr>
        <w:t xml:space="preserve">Le </w:t>
      </w:r>
      <w:r w:rsidR="0004338F" w:rsidRPr="007D292B">
        <w:rPr>
          <w:lang w:val="fr-FR"/>
        </w:rPr>
        <w:t>C tec </w:t>
      </w:r>
      <w:r w:rsidR="003F039A" w:rsidRPr="007D292B">
        <w:rPr>
          <w:lang w:val="fr-FR"/>
        </w:rPr>
        <w:t xml:space="preserve">PRO </w:t>
      </w:r>
      <w:r w:rsidR="004B0E8C" w:rsidRPr="007D292B">
        <w:rPr>
          <w:lang w:val="fr-FR"/>
        </w:rPr>
        <w:t xml:space="preserve">est le nouveau système de mélangeage de fûts, complet et entièrement automatisé de </w:t>
      </w:r>
      <w:r w:rsidR="003F039A" w:rsidRPr="007D292B">
        <w:rPr>
          <w:lang w:val="fr-FR"/>
        </w:rPr>
        <w:t xml:space="preserve">MTI </w:t>
      </w:r>
      <w:proofErr w:type="spellStart"/>
      <w:r w:rsidR="003F039A" w:rsidRPr="007D292B">
        <w:rPr>
          <w:lang w:val="fr-FR"/>
        </w:rPr>
        <w:t>Mischtechnik</w:t>
      </w:r>
      <w:proofErr w:type="spellEnd"/>
      <w:r w:rsidR="003F039A" w:rsidRPr="007D292B">
        <w:rPr>
          <w:lang w:val="fr-FR"/>
        </w:rPr>
        <w:t xml:space="preserve">. </w:t>
      </w:r>
      <w:r w:rsidR="004B0E8C" w:rsidRPr="007D292B">
        <w:rPr>
          <w:lang w:val="fr-FR"/>
        </w:rPr>
        <w:t xml:space="preserve">Contrairement à toutes les autres machines actuellement </w:t>
      </w:r>
      <w:r w:rsidR="004B0E8C" w:rsidRPr="007D292B">
        <w:rPr>
          <w:lang w:val="fr-FR"/>
        </w:rPr>
        <w:lastRenderedPageBreak/>
        <w:t xml:space="preserve">disponibles pour ce genre de tâches, il n’est pas nécessaire d’arrêter le C tec PRO pour nettoyage lors des changements de recette. En effet, le nouveau mélangeur effectue le changement en prenant un fût </w:t>
      </w:r>
      <w:proofErr w:type="spellStart"/>
      <w:r w:rsidR="004B0E8C" w:rsidRPr="007D292B">
        <w:rPr>
          <w:lang w:val="fr-FR"/>
        </w:rPr>
        <w:t>préchargé</w:t>
      </w:r>
      <w:proofErr w:type="spellEnd"/>
      <w:r w:rsidR="007D292B" w:rsidRPr="007D292B">
        <w:rPr>
          <w:lang w:val="fr-FR"/>
        </w:rPr>
        <w:t xml:space="preserve"> dont le couvercle est </w:t>
      </w:r>
      <w:r w:rsidR="004B0E8C" w:rsidRPr="007D292B">
        <w:rPr>
          <w:lang w:val="fr-FR"/>
        </w:rPr>
        <w:t>pré</w:t>
      </w:r>
      <w:r w:rsidR="004B0E8C" w:rsidRPr="007D292B">
        <w:rPr>
          <w:lang w:val="fr-FR"/>
        </w:rPr>
        <w:noBreakHyphen/>
        <w:t>équipé avec l’outil de mélangeage adéquat. Cette méthode permet de fonctionner presque sans interruption et d’augmenter ainsi très sensiblement le nombre de charges par unité de temps. Elle permet d’adapter la taille du fût et la configuration de l’outil de mélangeage aux conditions spécifiques, ainsi que d’optimiser chaque charge en fonction des quantités de production. Le degré élevé d’automatisation permet d’exploiter les gains de temps possibles en fonction des conditions réelles de l’exploitation quotidienne, indépendamment du nombre de charges.</w:t>
      </w:r>
    </w:p>
    <w:p w:rsidR="004B0E8C" w:rsidRPr="007D292B" w:rsidRDefault="004B0E8C" w:rsidP="00AE3432">
      <w:pPr>
        <w:pStyle w:val="Text"/>
        <w:spacing w:line="360" w:lineRule="exact"/>
        <w:ind w:right="851"/>
        <w:rPr>
          <w:lang w:val="fr-FR"/>
        </w:rPr>
      </w:pPr>
      <w:r w:rsidRPr="007D292B">
        <w:rPr>
          <w:lang w:val="fr-FR"/>
        </w:rPr>
        <w:t xml:space="preserve">Tous les processus de mélangeage s’effectuent sans intervention manuelle au niveau de la production. La préparation consiste à peser la recette considérée et à déposer ensuite le fût sur un poste d‘entreposage central, d’où le C tec PRO prend le fût qui se trouve </w:t>
      </w:r>
      <w:r w:rsidR="00883F8F">
        <w:rPr>
          <w:lang w:val="fr-FR"/>
        </w:rPr>
        <w:t>en tête de file</w:t>
      </w:r>
      <w:r w:rsidRPr="007D292B">
        <w:rPr>
          <w:lang w:val="fr-FR"/>
        </w:rPr>
        <w:t>. Il effectue ensuite chaque mélangeage</w:t>
      </w:r>
      <w:r w:rsidR="007D292B">
        <w:rPr>
          <w:lang w:val="fr-FR"/>
        </w:rPr>
        <w:t xml:space="preserve"> </w:t>
      </w:r>
      <w:r w:rsidR="007D292B" w:rsidRPr="007D292B">
        <w:rPr>
          <w:lang w:val="fr-FR"/>
        </w:rPr>
        <w:t xml:space="preserve">individuellement </w:t>
      </w:r>
      <w:r w:rsidR="007D292B">
        <w:rPr>
          <w:lang w:val="fr-FR"/>
        </w:rPr>
        <w:t>et</w:t>
      </w:r>
      <w:r w:rsidRPr="007D292B">
        <w:rPr>
          <w:lang w:val="fr-FR"/>
        </w:rPr>
        <w:t xml:space="preserve"> de ma</w:t>
      </w:r>
      <w:r w:rsidR="00866C6D">
        <w:rPr>
          <w:lang w:val="fr-FR"/>
        </w:rPr>
        <w:t>nière entièrement automatique, puis</w:t>
      </w:r>
      <w:r w:rsidRPr="007D292B">
        <w:rPr>
          <w:lang w:val="fr-FR"/>
        </w:rPr>
        <w:t xml:space="preserve"> replace le fût sur un poste d’entreposage à la fin de l’opération. </w:t>
      </w:r>
      <w:r w:rsidR="007D292B">
        <w:rPr>
          <w:lang w:val="fr-FR"/>
        </w:rPr>
        <w:t>Outre le robot industriel KUKA qui a été optimisé spécifiquement pour cette application, un élément</w:t>
      </w:r>
      <w:r w:rsidR="007D292B">
        <w:rPr>
          <w:lang w:val="fr-FR"/>
        </w:rPr>
        <w:noBreakHyphen/>
        <w:t>clé du processus est le nouveau couvercle de fût auquel est intégré un arbre de mélangeur destiné à recevoir les configurations d’</w:t>
      </w:r>
      <w:r w:rsidR="00883F8F">
        <w:rPr>
          <w:lang w:val="fr-FR"/>
        </w:rPr>
        <w:t>outil de mélangeage les plus d</w:t>
      </w:r>
      <w:r w:rsidR="007D292B">
        <w:rPr>
          <w:lang w:val="fr-FR"/>
        </w:rPr>
        <w:t xml:space="preserve">iverses. </w:t>
      </w:r>
      <w:r w:rsidR="00F93D09">
        <w:rPr>
          <w:lang w:val="fr-FR"/>
        </w:rPr>
        <w:t>Il permet de constituer un système fermé, dans lequel le mélangeage est effectué avec l’outil de mélangeage spécifiquement défini pour la charge considérée, voire même sans outil si cette configuration a été programmée pour une certaine charge.</w:t>
      </w:r>
    </w:p>
    <w:p w:rsidR="00F93D09" w:rsidRPr="00883F8F" w:rsidRDefault="00F93D09" w:rsidP="00AE3432">
      <w:pPr>
        <w:pStyle w:val="Text"/>
        <w:spacing w:line="360" w:lineRule="exact"/>
        <w:ind w:right="851"/>
        <w:rPr>
          <w:i/>
          <w:lang w:val="fr-FR"/>
        </w:rPr>
      </w:pPr>
      <w:r>
        <w:rPr>
          <w:lang w:val="fr-FR"/>
        </w:rPr>
        <w:t xml:space="preserve">Pour </w:t>
      </w:r>
      <w:r w:rsidRPr="007D292B">
        <w:rPr>
          <w:lang w:val="fr-FR"/>
        </w:rPr>
        <w:t>Christian Honemeyer,</w:t>
      </w:r>
      <w:r>
        <w:rPr>
          <w:lang w:val="fr-FR"/>
        </w:rPr>
        <w:t xml:space="preserve"> directeur général de l’entreprise familiale de Detmold, </w:t>
      </w:r>
      <w:r w:rsidRPr="00883F8F">
        <w:rPr>
          <w:i/>
          <w:lang w:val="fr-FR"/>
        </w:rPr>
        <w:t>« avec le C tec PRO, MTI définit une nouvelle norme de référence du mélangeage en fût en termes de rentabilité et de flexibilité. Les systèmes existants font appel à une tête de mélangeage fixée sur la machine et qui doit être nettoyée à chaque changement de produit. En revanche, le système fermé du C tec PRO permet de combiner à volonté des recettes de mélange différentes. On peut, par exemple, passer du blanc au noir sans arrêter la machine. Le nombre de degrés de liberté de la conduite de procédé permet, par exemple, de s’adapter automatiquement aux différences de propriétés entre les matières premières, ce qui fait que le C tec PRO s’inscrit parfaitement dans le monde de l’industrie 4.0 ».</w:t>
      </w:r>
    </w:p>
    <w:p w:rsidR="00F93D09" w:rsidRDefault="00F93D09" w:rsidP="00AE3432">
      <w:pPr>
        <w:pStyle w:val="Text"/>
        <w:spacing w:line="360" w:lineRule="exact"/>
        <w:ind w:right="851"/>
        <w:rPr>
          <w:lang w:val="fr-FR"/>
        </w:rPr>
      </w:pPr>
      <w:r>
        <w:rPr>
          <w:lang w:val="fr-FR"/>
        </w:rPr>
        <w:t xml:space="preserve">Grâce à la possibilité de combiner librement des contenances de fût allant de 100 à 600 litres, un </w:t>
      </w:r>
      <w:r w:rsidRPr="007D292B">
        <w:rPr>
          <w:lang w:val="fr-FR"/>
        </w:rPr>
        <w:t>C tec PRO</w:t>
      </w:r>
      <w:r>
        <w:rPr>
          <w:lang w:val="fr-FR"/>
        </w:rPr>
        <w:t xml:space="preserve"> est en mesure de remplacer plusieurs mélangeurs de fût</w:t>
      </w:r>
      <w:r w:rsidR="00883F8F">
        <w:rPr>
          <w:lang w:val="fr-FR"/>
        </w:rPr>
        <w:t>s</w:t>
      </w:r>
      <w:r>
        <w:rPr>
          <w:lang w:val="fr-FR"/>
        </w:rPr>
        <w:t xml:space="preserve"> classiques</w:t>
      </w:r>
      <w:r w:rsidR="00495C1A">
        <w:rPr>
          <w:lang w:val="fr-FR"/>
        </w:rPr>
        <w:t>, et</w:t>
      </w:r>
      <w:r>
        <w:rPr>
          <w:lang w:val="fr-FR"/>
        </w:rPr>
        <w:t xml:space="preserve"> de tailles différentes. On peut ainsi simplifier de beaucoup </w:t>
      </w:r>
      <w:r>
        <w:rPr>
          <w:lang w:val="fr-FR"/>
        </w:rPr>
        <w:lastRenderedPageBreak/>
        <w:t xml:space="preserve">l’ordonnancement, </w:t>
      </w:r>
      <w:r w:rsidR="00495C1A">
        <w:rPr>
          <w:lang w:val="fr-FR"/>
        </w:rPr>
        <w:t>parallèlement à une augmentation de</w:t>
      </w:r>
      <w:r>
        <w:rPr>
          <w:lang w:val="fr-FR"/>
        </w:rPr>
        <w:t xml:space="preserve"> la capacité et </w:t>
      </w:r>
      <w:r w:rsidR="00495C1A">
        <w:rPr>
          <w:lang w:val="fr-FR"/>
        </w:rPr>
        <w:t xml:space="preserve">de </w:t>
      </w:r>
      <w:r>
        <w:rPr>
          <w:lang w:val="fr-FR"/>
        </w:rPr>
        <w:t xml:space="preserve">la flexibilité de la production. En outre, </w:t>
      </w:r>
      <w:r w:rsidR="00495C1A">
        <w:rPr>
          <w:lang w:val="fr-FR"/>
        </w:rPr>
        <w:t>étant donné qu’on travaille à chaque fois avec le taux de remplissage optimal, on peut non seulement obtenir une qualité de mélange à la fois excellente et constante, mais aussi réduire le nombre de fûts nécessaires.</w:t>
      </w:r>
    </w:p>
    <w:p w:rsidR="00495C1A" w:rsidRPr="00883F8F" w:rsidRDefault="00495C1A" w:rsidP="00AE3432">
      <w:pPr>
        <w:pStyle w:val="Text"/>
        <w:spacing w:line="360" w:lineRule="exact"/>
        <w:ind w:right="851"/>
        <w:rPr>
          <w:i/>
          <w:lang w:val="fr-FR"/>
        </w:rPr>
      </w:pPr>
      <w:r w:rsidRPr="00883F8F">
        <w:rPr>
          <w:i/>
          <w:lang w:val="fr-FR"/>
        </w:rPr>
        <w:t>« Avec le C tec PRO, MTI offre à ses clients un système capable d’augmenter leur productivité d’un multiple de trois à quatre,</w:t>
      </w:r>
      <w:r>
        <w:rPr>
          <w:lang w:val="fr-FR"/>
        </w:rPr>
        <w:t xml:space="preserve"> ajoute </w:t>
      </w:r>
      <w:r w:rsidRPr="007D292B">
        <w:rPr>
          <w:lang w:val="fr-FR"/>
        </w:rPr>
        <w:t>Christian Honemeyer</w:t>
      </w:r>
      <w:r>
        <w:rPr>
          <w:lang w:val="fr-FR"/>
        </w:rPr>
        <w:t xml:space="preserve">. </w:t>
      </w:r>
      <w:r w:rsidRPr="00883F8F">
        <w:rPr>
          <w:i/>
          <w:lang w:val="fr-FR"/>
        </w:rPr>
        <w:t xml:space="preserve">Mais nous leur ouvrons aussi de nouvelles voies vers l’optimisation de leurs conditions </w:t>
      </w:r>
      <w:r w:rsidR="00883F8F" w:rsidRPr="00883F8F">
        <w:rPr>
          <w:i/>
          <w:lang w:val="fr-FR"/>
        </w:rPr>
        <w:t>d’</w:t>
      </w:r>
      <w:r w:rsidRPr="00883F8F">
        <w:rPr>
          <w:i/>
          <w:lang w:val="fr-FR"/>
        </w:rPr>
        <w:t>exploitation. En effet, avec les systèmes classiques qui impliquent beaucoup d’interventions manuelles, c</w:t>
      </w:r>
      <w:r w:rsidR="00883F8F" w:rsidRPr="00883F8F">
        <w:rPr>
          <w:i/>
          <w:lang w:val="fr-FR"/>
        </w:rPr>
        <w:t>es conditions</w:t>
      </w:r>
      <w:r w:rsidRPr="00883F8F">
        <w:rPr>
          <w:i/>
          <w:lang w:val="fr-FR"/>
        </w:rPr>
        <w:t xml:space="preserve"> sont souvent caractérisées par d’importants écarts </w:t>
      </w:r>
      <w:r w:rsidR="00883F8F" w:rsidRPr="00883F8F">
        <w:rPr>
          <w:i/>
          <w:lang w:val="fr-FR"/>
        </w:rPr>
        <w:t>dans la</w:t>
      </w:r>
      <w:r w:rsidRPr="00883F8F">
        <w:rPr>
          <w:i/>
          <w:lang w:val="fr-FR"/>
        </w:rPr>
        <w:t xml:space="preserve"> production et un manque de personnel qualifié. Notre nouveau mélangeur en discontinu crée un environnement de travail propre et, en permettant de notables réductions de personnel, contribue à améliorer la structure de coûts de la ligne de production ».</w:t>
      </w:r>
    </w:p>
    <w:p w:rsidR="00495C1A" w:rsidRPr="00495C1A" w:rsidRDefault="00495C1A" w:rsidP="00AE3432">
      <w:pPr>
        <w:pStyle w:val="Text"/>
        <w:spacing w:line="360" w:lineRule="exact"/>
        <w:ind w:right="851"/>
        <w:rPr>
          <w:lang w:val="fr-FR"/>
        </w:rPr>
      </w:pPr>
      <w:r>
        <w:rPr>
          <w:lang w:val="fr-FR"/>
        </w:rPr>
        <w:t xml:space="preserve">En matière de financement du </w:t>
      </w:r>
      <w:r w:rsidRPr="00495C1A">
        <w:rPr>
          <w:lang w:val="fr-FR"/>
        </w:rPr>
        <w:t>C tec PRO</w:t>
      </w:r>
      <w:r>
        <w:rPr>
          <w:lang w:val="fr-FR"/>
        </w:rPr>
        <w:t>, MTI ouvre aussi de nouvelles voies. Au lieu de facturer à l’exploitant le prix d’achat du</w:t>
      </w:r>
      <w:r w:rsidR="00883F8F">
        <w:rPr>
          <w:lang w:val="fr-FR"/>
        </w:rPr>
        <w:t xml:space="preserve"> nouveau mélangeur</w:t>
      </w:r>
      <w:r>
        <w:rPr>
          <w:lang w:val="fr-FR"/>
        </w:rPr>
        <w:t xml:space="preserve"> en une seule fois, MTI </w:t>
      </w:r>
      <w:r w:rsidR="00883F8F">
        <w:rPr>
          <w:lang w:val="fr-FR"/>
        </w:rPr>
        <w:t xml:space="preserve">lui </w:t>
      </w:r>
      <w:r>
        <w:rPr>
          <w:lang w:val="fr-FR"/>
        </w:rPr>
        <w:t>facture des frais de système et de service mensuellement. Cette formule de service complet comprend toutes les pièces de rechange et d’usure pendant 36 mois, un entretien préventif annuel et une assistance en ligne par les spécialistes du siège du constructeur à Detmold.</w:t>
      </w:r>
    </w:p>
    <w:p w:rsidR="00495C1A" w:rsidRPr="00495C1A" w:rsidRDefault="00CF5269" w:rsidP="00A21FE1">
      <w:pPr>
        <w:pStyle w:val="Text"/>
        <w:tabs>
          <w:tab w:val="left" w:pos="8647"/>
        </w:tabs>
        <w:spacing w:before="120" w:line="240" w:lineRule="auto"/>
        <w:ind w:right="1276"/>
        <w:rPr>
          <w:sz w:val="20"/>
          <w:lang w:val="fr-FR"/>
        </w:rPr>
      </w:pPr>
      <w:r w:rsidRPr="00495C1A">
        <w:rPr>
          <w:b/>
          <w:sz w:val="20"/>
          <w:lang w:val="fr-FR"/>
        </w:rPr>
        <w:t xml:space="preserve">MTI </w:t>
      </w:r>
      <w:proofErr w:type="spellStart"/>
      <w:r w:rsidRPr="00495C1A">
        <w:rPr>
          <w:b/>
          <w:sz w:val="20"/>
          <w:lang w:val="fr-FR"/>
        </w:rPr>
        <w:t>Mischtechnik</w:t>
      </w:r>
      <w:proofErr w:type="spellEnd"/>
      <w:r w:rsidRPr="00495C1A">
        <w:rPr>
          <w:b/>
          <w:sz w:val="20"/>
          <w:lang w:val="fr-FR"/>
        </w:rPr>
        <w:t xml:space="preserve"> International GmbH</w:t>
      </w:r>
      <w:r w:rsidRPr="00495C1A">
        <w:rPr>
          <w:sz w:val="20"/>
          <w:lang w:val="fr-FR"/>
        </w:rPr>
        <w:t xml:space="preserve"> </w:t>
      </w:r>
      <w:r w:rsidR="00495C1A" w:rsidRPr="00495C1A">
        <w:rPr>
          <w:sz w:val="20"/>
          <w:lang w:val="fr-FR"/>
        </w:rPr>
        <w:t>est, depuis 1975,</w:t>
      </w:r>
      <w:r w:rsidR="00495C1A">
        <w:rPr>
          <w:sz w:val="20"/>
          <w:lang w:val="fr-FR"/>
        </w:rPr>
        <w:t xml:space="preserve"> un des principaux constructeurs mondiaux d’installations de mélangeage et de traitement pour les secteurs de la plasturgie, de la chimie, des produits alimentaires et de la pharmacie. À Detmold, plus de 50 personnes fabriquent aujourd’hui des systèmes qui se distinguent par leurs remarquables performances</w:t>
      </w:r>
      <w:r w:rsidR="00883F8F">
        <w:rPr>
          <w:sz w:val="20"/>
          <w:lang w:val="fr-FR"/>
        </w:rPr>
        <w:t xml:space="preserve"> de mélangeage</w:t>
      </w:r>
      <w:r w:rsidR="00495C1A">
        <w:rPr>
          <w:sz w:val="20"/>
          <w:lang w:val="fr-FR"/>
        </w:rPr>
        <w:t>, ainsi que par leur efficacité énergétique et leur rentabilité. La gamme comprend des mélangeurs rapides verticaux, des mélangeurs horizontaux, des combinaisons de mélangeurs à froid et à chaud, des mélangeurs universels, des mélangeurs de laboratoire et des modèles spéciaux fabriqués à la demande. Très orientée à l’international, l’entreprise exporte environ 80 % de sa fabrication et se présente comme une entreprise familiale dirigée par ses propriétaires et qui revendique la qualité « Made in Germany ».</w:t>
      </w:r>
    </w:p>
    <w:p w:rsidR="005512F8" w:rsidRPr="00495C1A" w:rsidRDefault="001E3787" w:rsidP="003D41D8">
      <w:pPr>
        <w:pStyle w:val="Text"/>
        <w:spacing w:line="240" w:lineRule="auto"/>
        <w:ind w:right="1134"/>
        <w:rPr>
          <w:szCs w:val="22"/>
          <w:u w:val="single"/>
          <w:lang w:val="fr-FR"/>
        </w:rPr>
      </w:pPr>
      <w:r w:rsidRPr="00495C1A">
        <w:rPr>
          <w:szCs w:val="22"/>
          <w:u w:val="single"/>
          <w:lang w:val="fr-FR"/>
        </w:rPr>
        <w:t>Contact</w:t>
      </w:r>
      <w:r w:rsidR="00495C1A" w:rsidRPr="00495C1A">
        <w:rPr>
          <w:szCs w:val="22"/>
          <w:u w:val="single"/>
          <w:lang w:val="fr-FR"/>
        </w:rPr>
        <w:t xml:space="preserve"> rédactionnel et </w:t>
      </w:r>
      <w:r w:rsidRPr="00495C1A">
        <w:rPr>
          <w:szCs w:val="22"/>
          <w:u w:val="single"/>
          <w:lang w:val="fr-FR"/>
        </w:rPr>
        <w:t>exemplaires</w:t>
      </w:r>
      <w:r w:rsidR="00495C1A" w:rsidRPr="00495C1A">
        <w:rPr>
          <w:szCs w:val="22"/>
          <w:u w:val="single"/>
          <w:lang w:val="fr-FR"/>
        </w:rPr>
        <w:t xml:space="preserve"> justificatifs </w:t>
      </w:r>
      <w:r w:rsidR="005512F8" w:rsidRPr="00495C1A">
        <w:rPr>
          <w:szCs w:val="22"/>
          <w:u w:val="single"/>
          <w:lang w:val="fr-FR"/>
        </w:rPr>
        <w:t>:</w:t>
      </w:r>
    </w:p>
    <w:p w:rsidR="005512F8" w:rsidRPr="00866C6D" w:rsidRDefault="005512F8" w:rsidP="005512F8">
      <w:pPr>
        <w:pStyle w:val="Text"/>
        <w:spacing w:before="0" w:line="240" w:lineRule="auto"/>
        <w:ind w:right="1134"/>
        <w:rPr>
          <w:szCs w:val="22"/>
          <w:lang w:val="en-US"/>
        </w:rPr>
      </w:pPr>
      <w:r w:rsidRPr="00866C6D">
        <w:rPr>
          <w:szCs w:val="22"/>
          <w:lang w:val="en-US"/>
        </w:rPr>
        <w:t>Dr.-Ing. Jörg Wolters, Konsens PR GmbH &amp; Co. KG,</w:t>
      </w:r>
    </w:p>
    <w:p w:rsidR="005512F8" w:rsidRPr="00866C6D" w:rsidRDefault="005512F8" w:rsidP="005512F8">
      <w:pPr>
        <w:pStyle w:val="Text"/>
        <w:spacing w:before="0" w:line="240" w:lineRule="auto"/>
        <w:ind w:right="1134"/>
        <w:rPr>
          <w:szCs w:val="22"/>
          <w:lang w:val="en-US"/>
        </w:rPr>
      </w:pPr>
      <w:r w:rsidRPr="00866C6D">
        <w:rPr>
          <w:szCs w:val="22"/>
          <w:lang w:val="en-US"/>
        </w:rPr>
        <w:t>Hans-</w:t>
      </w:r>
      <w:proofErr w:type="spellStart"/>
      <w:r w:rsidRPr="00866C6D">
        <w:rPr>
          <w:szCs w:val="22"/>
          <w:lang w:val="en-US"/>
        </w:rPr>
        <w:t>Kudlich</w:t>
      </w:r>
      <w:proofErr w:type="spellEnd"/>
      <w:r w:rsidRPr="00866C6D">
        <w:rPr>
          <w:szCs w:val="22"/>
          <w:lang w:val="en-US"/>
        </w:rPr>
        <w:t>-</w:t>
      </w:r>
      <w:proofErr w:type="spellStart"/>
      <w:r w:rsidRPr="00866C6D">
        <w:rPr>
          <w:szCs w:val="22"/>
          <w:lang w:val="en-US"/>
        </w:rPr>
        <w:t>Straße</w:t>
      </w:r>
      <w:proofErr w:type="spellEnd"/>
      <w:r w:rsidRPr="00866C6D">
        <w:rPr>
          <w:szCs w:val="22"/>
          <w:lang w:val="en-US"/>
        </w:rPr>
        <w:t xml:space="preserve"> 25, D-64823 </w:t>
      </w:r>
      <w:proofErr w:type="spellStart"/>
      <w:r w:rsidRPr="00866C6D">
        <w:rPr>
          <w:szCs w:val="22"/>
          <w:lang w:val="en-US"/>
        </w:rPr>
        <w:t>Groß-Umstadt</w:t>
      </w:r>
      <w:proofErr w:type="spellEnd"/>
    </w:p>
    <w:p w:rsidR="005512F8" w:rsidRPr="00495C1A" w:rsidRDefault="00495C1A" w:rsidP="005512F8">
      <w:pPr>
        <w:pStyle w:val="Text"/>
        <w:spacing w:before="0" w:line="240" w:lineRule="auto"/>
        <w:ind w:right="1134"/>
        <w:rPr>
          <w:szCs w:val="22"/>
          <w:lang w:val="fr-FR"/>
        </w:rPr>
      </w:pPr>
      <w:r w:rsidRPr="00495C1A">
        <w:rPr>
          <w:szCs w:val="22"/>
          <w:lang w:val="fr-FR"/>
        </w:rPr>
        <w:t>Té</w:t>
      </w:r>
      <w:r w:rsidR="005512F8" w:rsidRPr="00495C1A">
        <w:rPr>
          <w:szCs w:val="22"/>
          <w:lang w:val="fr-FR"/>
        </w:rPr>
        <w:t>l.</w:t>
      </w:r>
      <w:r w:rsidRPr="00495C1A">
        <w:rPr>
          <w:szCs w:val="22"/>
          <w:lang w:val="fr-FR"/>
        </w:rPr>
        <w:t> </w:t>
      </w:r>
      <w:r w:rsidR="005512F8" w:rsidRPr="00495C1A">
        <w:rPr>
          <w:szCs w:val="22"/>
          <w:lang w:val="fr-FR"/>
        </w:rPr>
        <w:t>: +49 (6078</w:t>
      </w:r>
      <w:r w:rsidR="00CF5024" w:rsidRPr="00495C1A">
        <w:rPr>
          <w:szCs w:val="22"/>
          <w:lang w:val="fr-FR"/>
        </w:rPr>
        <w:t>)</w:t>
      </w:r>
      <w:r w:rsidR="005512F8" w:rsidRPr="00495C1A">
        <w:rPr>
          <w:szCs w:val="22"/>
          <w:lang w:val="fr-FR"/>
        </w:rPr>
        <w:t xml:space="preserve"> 9363-</w:t>
      </w:r>
      <w:r w:rsidR="00FC486F" w:rsidRPr="00495C1A">
        <w:rPr>
          <w:szCs w:val="22"/>
          <w:lang w:val="fr-FR"/>
        </w:rPr>
        <w:t>13</w:t>
      </w:r>
      <w:r w:rsidR="005512F8" w:rsidRPr="00495C1A">
        <w:rPr>
          <w:szCs w:val="22"/>
          <w:lang w:val="fr-FR"/>
        </w:rPr>
        <w:t xml:space="preserve">, </w:t>
      </w:r>
      <w:r w:rsidR="00FC486F" w:rsidRPr="00495C1A">
        <w:rPr>
          <w:szCs w:val="22"/>
          <w:lang w:val="fr-FR"/>
        </w:rPr>
        <w:t>Fax</w:t>
      </w:r>
      <w:r w:rsidRPr="00495C1A">
        <w:rPr>
          <w:szCs w:val="22"/>
          <w:lang w:val="fr-FR"/>
        </w:rPr>
        <w:t> </w:t>
      </w:r>
      <w:r w:rsidR="00FC486F" w:rsidRPr="00495C1A">
        <w:rPr>
          <w:szCs w:val="22"/>
          <w:lang w:val="fr-FR"/>
        </w:rPr>
        <w:t>: +49 (6078) 9363-20</w:t>
      </w:r>
    </w:p>
    <w:p w:rsidR="005512F8" w:rsidRPr="00495C1A" w:rsidRDefault="005512F8" w:rsidP="005512F8">
      <w:pPr>
        <w:pStyle w:val="Text"/>
        <w:spacing w:before="0" w:line="240" w:lineRule="auto"/>
        <w:ind w:right="1134"/>
        <w:rPr>
          <w:szCs w:val="22"/>
          <w:lang w:val="fr-FR"/>
        </w:rPr>
      </w:pPr>
      <w:r w:rsidRPr="00495C1A">
        <w:rPr>
          <w:szCs w:val="22"/>
          <w:lang w:val="fr-FR"/>
        </w:rPr>
        <w:t>E-Mail</w:t>
      </w:r>
      <w:r w:rsidR="00495C1A" w:rsidRPr="00495C1A">
        <w:rPr>
          <w:szCs w:val="22"/>
          <w:lang w:val="fr-FR"/>
        </w:rPr>
        <w:t> </w:t>
      </w:r>
      <w:r w:rsidRPr="00495C1A">
        <w:rPr>
          <w:szCs w:val="22"/>
          <w:lang w:val="fr-FR"/>
        </w:rPr>
        <w:t xml:space="preserve">: </w:t>
      </w:r>
      <w:hyperlink r:id="rId12" w:history="1">
        <w:r w:rsidRPr="00495C1A">
          <w:rPr>
            <w:rStyle w:val="Hyperlink"/>
            <w:sz w:val="22"/>
            <w:szCs w:val="22"/>
            <w:lang w:val="fr-FR"/>
          </w:rPr>
          <w:t>mail@konsens.de</w:t>
        </w:r>
      </w:hyperlink>
      <w:r w:rsidR="00FC486F" w:rsidRPr="00495C1A">
        <w:rPr>
          <w:szCs w:val="22"/>
          <w:lang w:val="fr-FR"/>
        </w:rPr>
        <w:t xml:space="preserve">, </w:t>
      </w:r>
      <w:r w:rsidR="0084576E" w:rsidRPr="00495C1A">
        <w:rPr>
          <w:szCs w:val="22"/>
          <w:lang w:val="fr-FR"/>
        </w:rPr>
        <w:t>www.konsens.de</w:t>
      </w:r>
    </w:p>
    <w:p w:rsidR="005512F8" w:rsidRPr="00495C1A" w:rsidRDefault="00495C1A" w:rsidP="003D41D8">
      <w:pPr>
        <w:pStyle w:val="Text"/>
        <w:pBdr>
          <w:top w:val="single" w:sz="4" w:space="1" w:color="auto"/>
          <w:left w:val="single" w:sz="4" w:space="4" w:color="auto"/>
          <w:bottom w:val="single" w:sz="4" w:space="1" w:color="auto"/>
          <w:right w:val="single" w:sz="4" w:space="4" w:color="auto"/>
        </w:pBdr>
        <w:spacing w:before="360" w:line="240" w:lineRule="auto"/>
        <w:ind w:right="1134"/>
        <w:jc w:val="center"/>
        <w:rPr>
          <w:szCs w:val="22"/>
          <w:lang w:val="fr-FR"/>
        </w:rPr>
      </w:pPr>
      <w:r>
        <w:rPr>
          <w:szCs w:val="22"/>
          <w:lang w:val="fr-FR"/>
        </w:rPr>
        <w:t>Ce communiqué de presse, sous forme d’un fichier Word, ainsi que l’illustration en couleurs en qualité d’impression, sont disponibles en téléchargement à l’adresse </w:t>
      </w:r>
      <w:r w:rsidR="005512F8" w:rsidRPr="00495C1A">
        <w:rPr>
          <w:szCs w:val="22"/>
          <w:lang w:val="fr-FR"/>
        </w:rPr>
        <w:t>:</w:t>
      </w:r>
    </w:p>
    <w:p w:rsidR="0033342E" w:rsidRPr="007D292B" w:rsidRDefault="00AE3432" w:rsidP="005512F8">
      <w:pPr>
        <w:pStyle w:val="Text"/>
        <w:pBdr>
          <w:top w:val="single" w:sz="4" w:space="1" w:color="auto"/>
          <w:left w:val="single" w:sz="4" w:space="4" w:color="auto"/>
          <w:bottom w:val="single" w:sz="4" w:space="1" w:color="auto"/>
          <w:right w:val="single" w:sz="4" w:space="4" w:color="auto"/>
        </w:pBdr>
        <w:spacing w:before="0" w:line="240" w:lineRule="auto"/>
        <w:ind w:right="1134"/>
        <w:jc w:val="center"/>
        <w:rPr>
          <w:szCs w:val="22"/>
          <w:lang w:val="fr-FR"/>
        </w:rPr>
      </w:pPr>
      <w:hyperlink r:id="rId13" w:history="1">
        <w:r w:rsidR="0084576E" w:rsidRPr="007D292B">
          <w:rPr>
            <w:rStyle w:val="Hyperlink"/>
            <w:sz w:val="22"/>
            <w:szCs w:val="22"/>
            <w:lang w:val="fr-FR"/>
          </w:rPr>
          <w:t>http://www.konsens.de/mti-mischtechnik.html</w:t>
        </w:r>
      </w:hyperlink>
    </w:p>
    <w:sectPr w:rsidR="0033342E" w:rsidRPr="007D292B" w:rsidSect="003F039A">
      <w:headerReference w:type="default" r:id="rId14"/>
      <w:footerReference w:type="even" r:id="rId15"/>
      <w:footerReference w:type="default" r:id="rId16"/>
      <w:pgSz w:w="11906" w:h="16838" w:code="9"/>
      <w:pgMar w:top="2268" w:right="567" w:bottom="567" w:left="1418" w:header="567" w:footer="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3D" w:rsidRDefault="00B53C3D" w:rsidP="0072678A">
      <w:r>
        <w:separator/>
      </w:r>
    </w:p>
  </w:endnote>
  <w:endnote w:type="continuationSeparator" w:id="0">
    <w:p w:rsidR="00B53C3D" w:rsidRDefault="00B53C3D"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B8" w:rsidRDefault="00754C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54CB8" w:rsidRDefault="00754CB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B8" w:rsidRPr="00BA2C37" w:rsidRDefault="00754CB8" w:rsidP="003F039A">
    <w:pPr>
      <w:pStyle w:val="Fuzeile"/>
      <w:tabs>
        <w:tab w:val="clear" w:pos="4536"/>
        <w:tab w:val="clear" w:pos="9072"/>
        <w:tab w:val="left" w:pos="8505"/>
        <w:tab w:val="right" w:pos="9637"/>
      </w:tabs>
      <w:ind w:right="-144"/>
      <w:rPr>
        <w:sz w:val="11"/>
      </w:rPr>
    </w:pPr>
  </w:p>
  <w:p w:rsidR="00754CB8" w:rsidRPr="00BA2C37"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BA2C37"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BA2C37" w:rsidRDefault="00D23945" w:rsidP="0064116B">
    <w:pPr>
      <w:pStyle w:val="Textkrper"/>
      <w:tabs>
        <w:tab w:val="clear" w:pos="3402"/>
        <w:tab w:val="right" w:pos="1918"/>
        <w:tab w:val="left" w:pos="2618"/>
        <w:tab w:val="right" w:pos="4620"/>
        <w:tab w:val="left" w:pos="5245"/>
        <w:tab w:val="left" w:pos="7993"/>
      </w:tabs>
      <w:ind w:right="140"/>
      <w:jc w:val="right"/>
      <w:rPr>
        <w:color w:val="auto"/>
        <w:sz w:val="11"/>
      </w:rPr>
    </w:pPr>
    <w:r>
      <w:rPr>
        <w:color w:val="auto"/>
        <w:sz w:val="11"/>
      </w:rPr>
      <w:t>Page</w:t>
    </w:r>
    <w:r w:rsidR="00754CB8" w:rsidRPr="00BA2C37">
      <w:rPr>
        <w:color w:val="auto"/>
        <w:sz w:val="11"/>
      </w:rPr>
      <w:t xml:space="preserve"> </w:t>
    </w:r>
    <w:r w:rsidR="00754CB8" w:rsidRPr="00BA2C37">
      <w:rPr>
        <w:color w:val="auto"/>
        <w:sz w:val="11"/>
      </w:rPr>
      <w:fldChar w:fldCharType="begin"/>
    </w:r>
    <w:r w:rsidR="00754CB8" w:rsidRPr="00BA2C37">
      <w:rPr>
        <w:color w:val="auto"/>
        <w:sz w:val="11"/>
      </w:rPr>
      <w:instrText>PAGE  \* Arabic  \* MERGEFORMAT</w:instrText>
    </w:r>
    <w:r w:rsidR="00754CB8" w:rsidRPr="00BA2C37">
      <w:rPr>
        <w:color w:val="auto"/>
        <w:sz w:val="11"/>
      </w:rPr>
      <w:fldChar w:fldCharType="separate"/>
    </w:r>
    <w:r w:rsidR="00AE3432">
      <w:rPr>
        <w:noProof/>
        <w:color w:val="auto"/>
        <w:sz w:val="11"/>
      </w:rPr>
      <w:t>1</w:t>
    </w:r>
    <w:r w:rsidR="00754CB8" w:rsidRPr="00BA2C37">
      <w:rPr>
        <w:color w:val="auto"/>
        <w:sz w:val="11"/>
      </w:rPr>
      <w:fldChar w:fldCharType="end"/>
    </w:r>
    <w:r w:rsidR="00754CB8" w:rsidRPr="00BA2C37">
      <w:rPr>
        <w:color w:val="auto"/>
        <w:sz w:val="11"/>
      </w:rPr>
      <w:t xml:space="preserve"> </w:t>
    </w:r>
    <w:r>
      <w:rPr>
        <w:color w:val="auto"/>
        <w:sz w:val="11"/>
      </w:rPr>
      <w:t>de</w:t>
    </w:r>
    <w:r w:rsidR="00754CB8" w:rsidRPr="00BA2C37">
      <w:rPr>
        <w:color w:val="auto"/>
        <w:sz w:val="11"/>
      </w:rPr>
      <w:t xml:space="preserve"> </w:t>
    </w:r>
    <w:r w:rsidR="00754CB8" w:rsidRPr="00BA2C37">
      <w:rPr>
        <w:color w:val="auto"/>
        <w:sz w:val="11"/>
      </w:rPr>
      <w:fldChar w:fldCharType="begin"/>
    </w:r>
    <w:r w:rsidR="00754CB8" w:rsidRPr="00BA2C37">
      <w:rPr>
        <w:color w:val="auto"/>
        <w:sz w:val="11"/>
      </w:rPr>
      <w:instrText>NUMPAGES  \* Arabic  \* MERGEFORMAT</w:instrText>
    </w:r>
    <w:r w:rsidR="00754CB8" w:rsidRPr="00BA2C37">
      <w:rPr>
        <w:color w:val="auto"/>
        <w:sz w:val="11"/>
      </w:rPr>
      <w:fldChar w:fldCharType="separate"/>
    </w:r>
    <w:r w:rsidR="00AE3432">
      <w:rPr>
        <w:noProof/>
        <w:color w:val="auto"/>
        <w:sz w:val="11"/>
      </w:rPr>
      <w:t>3</w:t>
    </w:r>
    <w:r w:rsidR="00754CB8" w:rsidRPr="00BA2C37">
      <w:rPr>
        <w:color w:val="auto"/>
        <w:sz w:val="11"/>
      </w:rPr>
      <w:fldChar w:fldCharType="end"/>
    </w:r>
  </w:p>
  <w:p w:rsidR="00754CB8" w:rsidRPr="00BA2C37"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BA2C37"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3D" w:rsidRDefault="00B53C3D" w:rsidP="0072678A">
      <w:r>
        <w:separator/>
      </w:r>
    </w:p>
  </w:footnote>
  <w:footnote w:type="continuationSeparator" w:id="0">
    <w:p w:rsidR="00B53C3D" w:rsidRDefault="00B53C3D" w:rsidP="007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B8" w:rsidRPr="00BA2C37" w:rsidRDefault="00BA2C37" w:rsidP="00BA2C37">
    <w:pPr>
      <w:pStyle w:val="Kopfzeile"/>
      <w:tabs>
        <w:tab w:val="clear" w:pos="4536"/>
        <w:tab w:val="clear" w:pos="9072"/>
        <w:tab w:val="right" w:pos="9921"/>
      </w:tabs>
    </w:pPr>
    <w:r>
      <w:rPr>
        <w:noProof/>
      </w:rPr>
      <w:drawing>
        <wp:anchor distT="0" distB="0" distL="114300" distR="114300" simplePos="0" relativeHeight="251659264" behindDoc="1" locked="0" layoutInCell="1" allowOverlap="1" wp14:anchorId="4E59E7A4" wp14:editId="6A186E12">
          <wp:simplePos x="0" y="0"/>
          <wp:positionH relativeFrom="page">
            <wp:align>right</wp:align>
          </wp:positionH>
          <wp:positionV relativeFrom="page">
            <wp:posOffset>8890</wp:posOffset>
          </wp:positionV>
          <wp:extent cx="7550150" cy="1067943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I Vorlage PM 2016-10-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7943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9"/>
  <w:hyphenationZone w:val="425"/>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6E"/>
    <w:rsid w:val="00010A04"/>
    <w:rsid w:val="0001427A"/>
    <w:rsid w:val="00015ABE"/>
    <w:rsid w:val="000210B2"/>
    <w:rsid w:val="00024D76"/>
    <w:rsid w:val="00026058"/>
    <w:rsid w:val="0004338F"/>
    <w:rsid w:val="00060C32"/>
    <w:rsid w:val="00065E57"/>
    <w:rsid w:val="00066235"/>
    <w:rsid w:val="0008722C"/>
    <w:rsid w:val="00090F45"/>
    <w:rsid w:val="000920B9"/>
    <w:rsid w:val="000B4E35"/>
    <w:rsid w:val="000B633D"/>
    <w:rsid w:val="000B7D0C"/>
    <w:rsid w:val="000D0C85"/>
    <w:rsid w:val="000E0DB2"/>
    <w:rsid w:val="000E0FD8"/>
    <w:rsid w:val="000E714B"/>
    <w:rsid w:val="00102DB9"/>
    <w:rsid w:val="0011144A"/>
    <w:rsid w:val="00115B52"/>
    <w:rsid w:val="0012087A"/>
    <w:rsid w:val="001671E4"/>
    <w:rsid w:val="00174576"/>
    <w:rsid w:val="00182437"/>
    <w:rsid w:val="0018274A"/>
    <w:rsid w:val="00186ACE"/>
    <w:rsid w:val="0019247B"/>
    <w:rsid w:val="001A5806"/>
    <w:rsid w:val="001A5E68"/>
    <w:rsid w:val="001C1BA7"/>
    <w:rsid w:val="001D6F96"/>
    <w:rsid w:val="001E3787"/>
    <w:rsid w:val="001E5F10"/>
    <w:rsid w:val="00203130"/>
    <w:rsid w:val="00203905"/>
    <w:rsid w:val="00226E17"/>
    <w:rsid w:val="00254D13"/>
    <w:rsid w:val="00290854"/>
    <w:rsid w:val="002969FD"/>
    <w:rsid w:val="002B0954"/>
    <w:rsid w:val="002B4ED7"/>
    <w:rsid w:val="002B7BA0"/>
    <w:rsid w:val="002C2B42"/>
    <w:rsid w:val="003307AD"/>
    <w:rsid w:val="0033342E"/>
    <w:rsid w:val="003558C1"/>
    <w:rsid w:val="00357B69"/>
    <w:rsid w:val="0038203B"/>
    <w:rsid w:val="00384F3B"/>
    <w:rsid w:val="0038785A"/>
    <w:rsid w:val="00391610"/>
    <w:rsid w:val="00391A47"/>
    <w:rsid w:val="003A0333"/>
    <w:rsid w:val="003A71B7"/>
    <w:rsid w:val="003A7B78"/>
    <w:rsid w:val="003D2D67"/>
    <w:rsid w:val="003D41D8"/>
    <w:rsid w:val="003E2F48"/>
    <w:rsid w:val="003F039A"/>
    <w:rsid w:val="003F1750"/>
    <w:rsid w:val="003F774F"/>
    <w:rsid w:val="004029DF"/>
    <w:rsid w:val="004039EA"/>
    <w:rsid w:val="004046BF"/>
    <w:rsid w:val="004246D2"/>
    <w:rsid w:val="004272AA"/>
    <w:rsid w:val="00444B8D"/>
    <w:rsid w:val="00445F81"/>
    <w:rsid w:val="00454572"/>
    <w:rsid w:val="004739D9"/>
    <w:rsid w:val="0047473E"/>
    <w:rsid w:val="00480E73"/>
    <w:rsid w:val="00485C71"/>
    <w:rsid w:val="00495C1A"/>
    <w:rsid w:val="004B0E8C"/>
    <w:rsid w:val="004C4E05"/>
    <w:rsid w:val="004C6C3D"/>
    <w:rsid w:val="00521197"/>
    <w:rsid w:val="00521279"/>
    <w:rsid w:val="00525558"/>
    <w:rsid w:val="00536804"/>
    <w:rsid w:val="005512F8"/>
    <w:rsid w:val="005654A0"/>
    <w:rsid w:val="005741D6"/>
    <w:rsid w:val="00583DA0"/>
    <w:rsid w:val="00584502"/>
    <w:rsid w:val="005B04F2"/>
    <w:rsid w:val="005B5182"/>
    <w:rsid w:val="005C030A"/>
    <w:rsid w:val="005C3AC3"/>
    <w:rsid w:val="005E32FB"/>
    <w:rsid w:val="005E6CF3"/>
    <w:rsid w:val="00612642"/>
    <w:rsid w:val="0061639A"/>
    <w:rsid w:val="0064016C"/>
    <w:rsid w:val="0064116B"/>
    <w:rsid w:val="00641263"/>
    <w:rsid w:val="006562C1"/>
    <w:rsid w:val="00657087"/>
    <w:rsid w:val="006666D8"/>
    <w:rsid w:val="00675556"/>
    <w:rsid w:val="00687213"/>
    <w:rsid w:val="006A018D"/>
    <w:rsid w:val="006B027D"/>
    <w:rsid w:val="006B4607"/>
    <w:rsid w:val="006D62B3"/>
    <w:rsid w:val="006D6871"/>
    <w:rsid w:val="006F22D0"/>
    <w:rsid w:val="006F5B19"/>
    <w:rsid w:val="0071015A"/>
    <w:rsid w:val="0072678A"/>
    <w:rsid w:val="007319D7"/>
    <w:rsid w:val="0073400E"/>
    <w:rsid w:val="00754CB8"/>
    <w:rsid w:val="00756D6D"/>
    <w:rsid w:val="0076201D"/>
    <w:rsid w:val="00780C05"/>
    <w:rsid w:val="00781A6A"/>
    <w:rsid w:val="00784552"/>
    <w:rsid w:val="007877C9"/>
    <w:rsid w:val="007A28BE"/>
    <w:rsid w:val="007A37B1"/>
    <w:rsid w:val="007A4353"/>
    <w:rsid w:val="007A461C"/>
    <w:rsid w:val="007C1325"/>
    <w:rsid w:val="007D292B"/>
    <w:rsid w:val="007D405C"/>
    <w:rsid w:val="00802A92"/>
    <w:rsid w:val="00804B35"/>
    <w:rsid w:val="00820005"/>
    <w:rsid w:val="0082735C"/>
    <w:rsid w:val="0084576E"/>
    <w:rsid w:val="00853595"/>
    <w:rsid w:val="00856BC2"/>
    <w:rsid w:val="00862191"/>
    <w:rsid w:val="00866C6D"/>
    <w:rsid w:val="008838CB"/>
    <w:rsid w:val="00883F8F"/>
    <w:rsid w:val="008B64C6"/>
    <w:rsid w:val="008D28A3"/>
    <w:rsid w:val="008D57BE"/>
    <w:rsid w:val="008D6EA4"/>
    <w:rsid w:val="008E4562"/>
    <w:rsid w:val="008E4F0E"/>
    <w:rsid w:val="008E713A"/>
    <w:rsid w:val="008F4577"/>
    <w:rsid w:val="008F467C"/>
    <w:rsid w:val="00904844"/>
    <w:rsid w:val="009337DC"/>
    <w:rsid w:val="009450F1"/>
    <w:rsid w:val="009509BB"/>
    <w:rsid w:val="00951674"/>
    <w:rsid w:val="00952E90"/>
    <w:rsid w:val="00956999"/>
    <w:rsid w:val="00960E8C"/>
    <w:rsid w:val="0096331C"/>
    <w:rsid w:val="00966481"/>
    <w:rsid w:val="009671A1"/>
    <w:rsid w:val="009A4541"/>
    <w:rsid w:val="009C5F81"/>
    <w:rsid w:val="009C7BF8"/>
    <w:rsid w:val="009D3309"/>
    <w:rsid w:val="009E02AE"/>
    <w:rsid w:val="009E08FF"/>
    <w:rsid w:val="009E1125"/>
    <w:rsid w:val="009E4D6E"/>
    <w:rsid w:val="009F001A"/>
    <w:rsid w:val="009F1908"/>
    <w:rsid w:val="009F30F5"/>
    <w:rsid w:val="009F5BE8"/>
    <w:rsid w:val="009F78EA"/>
    <w:rsid w:val="00A21FE1"/>
    <w:rsid w:val="00A42EC1"/>
    <w:rsid w:val="00A46AFD"/>
    <w:rsid w:val="00A61C3B"/>
    <w:rsid w:val="00A6621B"/>
    <w:rsid w:val="00A70744"/>
    <w:rsid w:val="00A85FB8"/>
    <w:rsid w:val="00A96AE1"/>
    <w:rsid w:val="00AA7DFA"/>
    <w:rsid w:val="00AB105C"/>
    <w:rsid w:val="00AB2EEA"/>
    <w:rsid w:val="00AB6833"/>
    <w:rsid w:val="00AD2248"/>
    <w:rsid w:val="00AE224F"/>
    <w:rsid w:val="00AE2ED0"/>
    <w:rsid w:val="00AE3432"/>
    <w:rsid w:val="00AF16E1"/>
    <w:rsid w:val="00B02F3C"/>
    <w:rsid w:val="00B249E5"/>
    <w:rsid w:val="00B31CE7"/>
    <w:rsid w:val="00B32FED"/>
    <w:rsid w:val="00B5178B"/>
    <w:rsid w:val="00B53C3D"/>
    <w:rsid w:val="00B551C1"/>
    <w:rsid w:val="00B576ED"/>
    <w:rsid w:val="00B66834"/>
    <w:rsid w:val="00B67F76"/>
    <w:rsid w:val="00B70633"/>
    <w:rsid w:val="00B77AC3"/>
    <w:rsid w:val="00B82E45"/>
    <w:rsid w:val="00B929B9"/>
    <w:rsid w:val="00B9625A"/>
    <w:rsid w:val="00BA0BD1"/>
    <w:rsid w:val="00BA2C37"/>
    <w:rsid w:val="00BA56B8"/>
    <w:rsid w:val="00BB4950"/>
    <w:rsid w:val="00BC7BD1"/>
    <w:rsid w:val="00BF3E22"/>
    <w:rsid w:val="00BF6F9F"/>
    <w:rsid w:val="00C0039C"/>
    <w:rsid w:val="00C0573F"/>
    <w:rsid w:val="00C063A2"/>
    <w:rsid w:val="00C158E0"/>
    <w:rsid w:val="00C2000D"/>
    <w:rsid w:val="00C257CD"/>
    <w:rsid w:val="00C462D4"/>
    <w:rsid w:val="00C92835"/>
    <w:rsid w:val="00CA26E2"/>
    <w:rsid w:val="00CA521F"/>
    <w:rsid w:val="00CB3809"/>
    <w:rsid w:val="00CC6898"/>
    <w:rsid w:val="00CD59A6"/>
    <w:rsid w:val="00CF4631"/>
    <w:rsid w:val="00CF5024"/>
    <w:rsid w:val="00CF5269"/>
    <w:rsid w:val="00D0629A"/>
    <w:rsid w:val="00D070AA"/>
    <w:rsid w:val="00D1760B"/>
    <w:rsid w:val="00D226DF"/>
    <w:rsid w:val="00D23945"/>
    <w:rsid w:val="00D23B02"/>
    <w:rsid w:val="00D33B30"/>
    <w:rsid w:val="00D37162"/>
    <w:rsid w:val="00D45251"/>
    <w:rsid w:val="00D47E1F"/>
    <w:rsid w:val="00D54494"/>
    <w:rsid w:val="00D743E8"/>
    <w:rsid w:val="00D81876"/>
    <w:rsid w:val="00DB46EE"/>
    <w:rsid w:val="00DC2832"/>
    <w:rsid w:val="00DE2C62"/>
    <w:rsid w:val="00DF5970"/>
    <w:rsid w:val="00E03539"/>
    <w:rsid w:val="00E21750"/>
    <w:rsid w:val="00E34D89"/>
    <w:rsid w:val="00E351D9"/>
    <w:rsid w:val="00E362E1"/>
    <w:rsid w:val="00E4390B"/>
    <w:rsid w:val="00E5790C"/>
    <w:rsid w:val="00E8341C"/>
    <w:rsid w:val="00EA6649"/>
    <w:rsid w:val="00EB2394"/>
    <w:rsid w:val="00EC7CC2"/>
    <w:rsid w:val="00EE3BAD"/>
    <w:rsid w:val="00F064CC"/>
    <w:rsid w:val="00F201A6"/>
    <w:rsid w:val="00F52B5F"/>
    <w:rsid w:val="00F71038"/>
    <w:rsid w:val="00F92FA5"/>
    <w:rsid w:val="00F93D09"/>
    <w:rsid w:val="00F956CF"/>
    <w:rsid w:val="00FA234C"/>
    <w:rsid w:val="00FC486F"/>
    <w:rsid w:val="00FC575D"/>
    <w:rsid w:val="00FE143D"/>
    <w:rsid w:val="00FE3D6C"/>
    <w:rsid w:val="00FF5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mti-mischtechnik.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ti-mixer.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0A9E-7BE0-4783-9945-F93DDFE8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5569A7D3.dotm</Template>
  <TotalTime>0</TotalTime>
  <Pages>3</Pages>
  <Words>1046</Words>
  <Characters>5898</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Industrieanlagen GmbH</Company>
  <LinksUpToDate>false</LinksUpToDate>
  <CharactersWithSpaces>6931</CharactersWithSpaces>
  <SharedDoc>false</SharedDoc>
  <HLinks>
    <vt:vector size="6" baseType="variant">
      <vt:variant>
        <vt:i4>2031664</vt:i4>
      </vt:variant>
      <vt:variant>
        <vt:i4>3</vt:i4>
      </vt:variant>
      <vt:variant>
        <vt:i4>0</vt:i4>
      </vt:variant>
      <vt:variant>
        <vt:i4>5</vt:i4>
      </vt:variant>
      <vt:variant>
        <vt:lpwstr>mailto:mail@konsens.de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Georg Sposny</dc:creator>
  <cp:lastModifiedBy>Jörg Wolters</cp:lastModifiedBy>
  <cp:revision>2</cp:revision>
  <cp:lastPrinted>2016-10-13T13:17:00Z</cp:lastPrinted>
  <dcterms:created xsi:type="dcterms:W3CDTF">2016-10-17T10:30:00Z</dcterms:created>
  <dcterms:modified xsi:type="dcterms:W3CDTF">2016-10-17T10:30:00Z</dcterms:modified>
</cp:coreProperties>
</file>