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FB23" w14:textId="77777777" w:rsidR="00A83B8D" w:rsidRDefault="00B8478B" w:rsidP="008F0C50">
      <w:pPr>
        <w:pStyle w:val="Kopfzeile"/>
        <w:autoSpaceDE w:val="0"/>
        <w:autoSpaceDN w:val="0"/>
        <w:adjustRightInd w:val="0"/>
        <w:spacing w:before="120"/>
        <w:ind w:right="-232"/>
        <w:rPr>
          <w:b/>
          <w:bCs/>
          <w:color w:val="000000"/>
          <w:sz w:val="36"/>
          <w:szCs w:val="36"/>
          <w:lang w:val="de-CH" w:eastAsia="de-CH"/>
        </w:rPr>
      </w:pPr>
      <w:r>
        <w:rPr>
          <w:b/>
          <w:bCs/>
          <w:color w:val="000000"/>
          <w:sz w:val="36"/>
          <w:szCs w:val="36"/>
          <w:lang w:val="de-CH" w:eastAsia="de-CH"/>
        </w:rPr>
        <w:t>RESINEX erweitert Portfolio</w:t>
      </w:r>
      <w:r w:rsidR="00B51316">
        <w:rPr>
          <w:b/>
          <w:bCs/>
          <w:color w:val="000000"/>
          <w:sz w:val="36"/>
          <w:szCs w:val="36"/>
          <w:lang w:val="de-CH" w:eastAsia="de-CH"/>
        </w:rPr>
        <w:t xml:space="preserve"> um</w:t>
      </w:r>
      <w:r>
        <w:rPr>
          <w:b/>
          <w:bCs/>
          <w:color w:val="000000"/>
          <w:sz w:val="36"/>
          <w:szCs w:val="36"/>
          <w:lang w:val="de-CH" w:eastAsia="de-CH"/>
        </w:rPr>
        <w:t xml:space="preserve"> </w:t>
      </w:r>
      <w:r w:rsidR="00B51316">
        <w:rPr>
          <w:b/>
          <w:bCs/>
          <w:color w:val="000000"/>
          <w:sz w:val="36"/>
          <w:szCs w:val="36"/>
          <w:lang w:val="de-CH" w:eastAsia="de-CH"/>
        </w:rPr>
        <w:t>PRE-ELEC</w:t>
      </w:r>
      <w:r w:rsidR="000C78CD" w:rsidRPr="000C78CD">
        <w:rPr>
          <w:b/>
          <w:bCs/>
          <w:color w:val="000000"/>
          <w:sz w:val="36"/>
          <w:szCs w:val="36"/>
          <w:vertAlign w:val="superscript"/>
          <w:lang w:val="de-CH" w:eastAsia="de-CH"/>
        </w:rPr>
        <w:t>®</w:t>
      </w:r>
      <w:r w:rsidR="00B51316">
        <w:rPr>
          <w:b/>
          <w:bCs/>
          <w:color w:val="000000"/>
          <w:sz w:val="36"/>
          <w:szCs w:val="36"/>
          <w:lang w:val="de-CH" w:eastAsia="de-CH"/>
        </w:rPr>
        <w:t xml:space="preserve">-Compounds </w:t>
      </w:r>
      <w:r>
        <w:rPr>
          <w:b/>
          <w:bCs/>
          <w:color w:val="000000"/>
          <w:sz w:val="36"/>
          <w:szCs w:val="36"/>
          <w:lang w:val="de-CH" w:eastAsia="de-CH"/>
        </w:rPr>
        <w:t xml:space="preserve">von </w:t>
      </w:r>
      <w:r w:rsidR="00B51316">
        <w:rPr>
          <w:b/>
          <w:bCs/>
          <w:color w:val="000000"/>
          <w:sz w:val="36"/>
          <w:szCs w:val="36"/>
          <w:lang w:val="de-CH" w:eastAsia="de-CH"/>
        </w:rPr>
        <w:t>Premix</w:t>
      </w:r>
    </w:p>
    <w:p w14:paraId="006CD9CE" w14:textId="3A032C56" w:rsidR="00FD5CD6" w:rsidRPr="00F1473E" w:rsidRDefault="00146A9C" w:rsidP="00F1473E">
      <w:pPr>
        <w:pStyle w:val="Kopfzeile"/>
        <w:autoSpaceDE w:val="0"/>
        <w:autoSpaceDN w:val="0"/>
        <w:adjustRightInd w:val="0"/>
        <w:spacing w:before="120" w:line="360" w:lineRule="auto"/>
        <w:ind w:right="-232"/>
        <w:jc w:val="center"/>
        <w:rPr>
          <w:b/>
          <w:bCs/>
          <w:color w:val="000000"/>
          <w:sz w:val="36"/>
          <w:szCs w:val="36"/>
          <w:lang w:val="de-CH" w:eastAsia="de-CH"/>
        </w:rPr>
      </w:pPr>
      <w:r>
        <w:rPr>
          <w:b/>
          <w:bCs/>
          <w:noProof/>
          <w:color w:val="000000"/>
          <w:sz w:val="36"/>
          <w:szCs w:val="36"/>
        </w:rPr>
        <w:drawing>
          <wp:inline distT="0" distB="0" distL="0" distR="0" wp14:anchorId="31207193" wp14:editId="77C30111">
            <wp:extent cx="4157472" cy="3270504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ne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472" cy="327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73E">
        <w:rPr>
          <w:i/>
          <w:iCs/>
          <w:color w:val="000000"/>
        </w:rPr>
        <w:br/>
      </w:r>
      <w:r w:rsidR="00FD5CD6" w:rsidRPr="000C78CD">
        <w:rPr>
          <w:i/>
          <w:iCs/>
          <w:color w:val="000000"/>
        </w:rPr>
        <w:t xml:space="preserve">Die </w:t>
      </w:r>
      <w:proofErr w:type="spellStart"/>
      <w:r w:rsidR="00FD5CD6" w:rsidRPr="000C78CD">
        <w:rPr>
          <w:i/>
          <w:iCs/>
          <w:color w:val="000000"/>
        </w:rPr>
        <w:t>Com</w:t>
      </w:r>
      <w:r w:rsidR="001B6DFC">
        <w:rPr>
          <w:i/>
          <w:iCs/>
          <w:color w:val="000000"/>
        </w:rPr>
        <w:t>pounds</w:t>
      </w:r>
      <w:proofErr w:type="spellEnd"/>
      <w:r w:rsidR="001B6DFC">
        <w:rPr>
          <w:i/>
          <w:iCs/>
          <w:color w:val="000000"/>
        </w:rPr>
        <w:t xml:space="preserve"> sind je nach Anwendung </w:t>
      </w:r>
      <w:r w:rsidR="00FD5CD6" w:rsidRPr="000C78CD">
        <w:rPr>
          <w:i/>
          <w:iCs/>
          <w:color w:val="000000"/>
        </w:rPr>
        <w:t xml:space="preserve">leitend oder dissipativ einstellbar. </w:t>
      </w:r>
      <w:r w:rsidR="000C78CD">
        <w:rPr>
          <w:i/>
          <w:iCs/>
          <w:color w:val="000000"/>
        </w:rPr>
        <w:br/>
        <w:t>© Premix</w:t>
      </w:r>
    </w:p>
    <w:p w14:paraId="6AEC52A1" w14:textId="628F41B9" w:rsidR="0087398B" w:rsidRPr="0087398B" w:rsidRDefault="0087398B" w:rsidP="008F0C50">
      <w:pPr>
        <w:spacing w:before="120" w:line="360" w:lineRule="auto"/>
        <w:rPr>
          <w:color w:val="000000"/>
          <w:lang w:eastAsia="de-CH"/>
        </w:rPr>
      </w:pPr>
      <w:r w:rsidRPr="0087398B">
        <w:rPr>
          <w:color w:val="000000"/>
          <w:lang w:eastAsia="de-CH"/>
        </w:rPr>
        <w:t>Zwingenberg, Februar 2020 -- Der Kunststoff-Distributor RESINEX hat sein Portfolio in Deutschland, Österreich und der Schweiz um die elektrisch leitfähigen PRE-ELEC</w:t>
      </w:r>
      <w:r w:rsidR="00AE7824" w:rsidRPr="000C78CD">
        <w:rPr>
          <w:color w:val="000000"/>
          <w:vertAlign w:val="superscript"/>
          <w:lang w:eastAsia="de-CH"/>
        </w:rPr>
        <w:t>®</w:t>
      </w:r>
      <w:r w:rsidRPr="0087398B">
        <w:rPr>
          <w:color w:val="000000"/>
          <w:lang w:eastAsia="de-CH"/>
        </w:rPr>
        <w:t>-</w:t>
      </w:r>
      <w:proofErr w:type="spellStart"/>
      <w:r w:rsidRPr="0087398B">
        <w:rPr>
          <w:color w:val="000000"/>
          <w:lang w:eastAsia="de-CH"/>
        </w:rPr>
        <w:t>Compounds</w:t>
      </w:r>
      <w:proofErr w:type="spellEnd"/>
      <w:r w:rsidRPr="0087398B">
        <w:rPr>
          <w:color w:val="000000"/>
          <w:lang w:eastAsia="de-CH"/>
        </w:rPr>
        <w:t xml:space="preserve"> von </w:t>
      </w:r>
      <w:proofErr w:type="spellStart"/>
      <w:r w:rsidRPr="0087398B">
        <w:rPr>
          <w:color w:val="000000"/>
          <w:lang w:eastAsia="de-CH"/>
        </w:rPr>
        <w:t>Premix</w:t>
      </w:r>
      <w:proofErr w:type="spellEnd"/>
      <w:r w:rsidRPr="0087398B">
        <w:rPr>
          <w:color w:val="000000"/>
          <w:lang w:eastAsia="de-CH"/>
        </w:rPr>
        <w:t xml:space="preserve"> erweitert. </w:t>
      </w:r>
      <w:r w:rsidRPr="003162B6">
        <w:rPr>
          <w:color w:val="000000"/>
          <w:lang w:eastAsia="de-CH"/>
        </w:rPr>
        <w:t>Diese sind auf Basis verschiedener</w:t>
      </w:r>
      <w:r w:rsidR="00FD5CD6" w:rsidRPr="003162B6">
        <w:rPr>
          <w:color w:val="000000"/>
          <w:lang w:eastAsia="de-CH"/>
        </w:rPr>
        <w:t xml:space="preserve"> </w:t>
      </w:r>
      <w:r w:rsidR="00D10A47" w:rsidRPr="003162B6">
        <w:rPr>
          <w:color w:val="000000"/>
          <w:lang w:eastAsia="de-CH"/>
        </w:rPr>
        <w:t>Standard- sowie technischer Thermoplaste</w:t>
      </w:r>
      <w:r w:rsidR="00D10A47">
        <w:rPr>
          <w:color w:val="000000"/>
          <w:lang w:eastAsia="de-CH"/>
        </w:rPr>
        <w:t xml:space="preserve"> </w:t>
      </w:r>
      <w:r w:rsidRPr="0087398B">
        <w:rPr>
          <w:color w:val="000000"/>
          <w:lang w:eastAsia="de-CH"/>
        </w:rPr>
        <w:t xml:space="preserve">verfügbar und je nach Füllgrad elektrisch leitend oder </w:t>
      </w:r>
      <w:r w:rsidR="00D10A47" w:rsidRPr="003162B6">
        <w:rPr>
          <w:color w:val="000000"/>
          <w:lang w:eastAsia="de-CH"/>
        </w:rPr>
        <w:t>elektrostatisch dissipativ</w:t>
      </w:r>
      <w:r w:rsidRPr="0087398B">
        <w:rPr>
          <w:color w:val="000000"/>
          <w:lang w:eastAsia="de-CH"/>
        </w:rPr>
        <w:t>.</w:t>
      </w:r>
    </w:p>
    <w:p w14:paraId="072ADD6F" w14:textId="4F0DCD35" w:rsidR="0087398B" w:rsidRDefault="0087398B" w:rsidP="008F0C50">
      <w:pPr>
        <w:spacing w:before="120" w:line="360" w:lineRule="auto"/>
        <w:rPr>
          <w:color w:val="000000"/>
          <w:lang w:eastAsia="de-CH"/>
        </w:rPr>
      </w:pPr>
      <w:r w:rsidRPr="0087398B">
        <w:rPr>
          <w:color w:val="000000"/>
          <w:lang w:eastAsia="de-CH"/>
        </w:rPr>
        <w:t>Typische Anwendungen für PRE-ELEC</w:t>
      </w:r>
      <w:r w:rsidR="00AE7824" w:rsidRPr="000C78CD">
        <w:rPr>
          <w:color w:val="000000"/>
          <w:vertAlign w:val="superscript"/>
          <w:lang w:eastAsia="de-CH"/>
        </w:rPr>
        <w:t>®</w:t>
      </w:r>
      <w:r w:rsidRPr="0087398B">
        <w:rPr>
          <w:color w:val="000000"/>
          <w:lang w:eastAsia="de-CH"/>
        </w:rPr>
        <w:t xml:space="preserve"> sind Komponenten für explosionsgeschützte Bereiche, das Handling sensibler elektronischer Bauteile oder Reinräume. PRE-ELEC</w:t>
      </w:r>
      <w:r w:rsidR="000C78CD" w:rsidRPr="000C78CD">
        <w:rPr>
          <w:color w:val="000000"/>
          <w:vertAlign w:val="superscript"/>
          <w:lang w:eastAsia="de-CH"/>
        </w:rPr>
        <w:t>®</w:t>
      </w:r>
      <w:r w:rsidR="000C78CD">
        <w:rPr>
          <w:color w:val="000000"/>
          <w:lang w:eastAsia="de-CH"/>
        </w:rPr>
        <w:t>-</w:t>
      </w:r>
      <w:r w:rsidRPr="0087398B">
        <w:rPr>
          <w:color w:val="000000"/>
          <w:lang w:eastAsia="de-CH"/>
        </w:rPr>
        <w:t>Compounds sind für verschi</w:t>
      </w:r>
      <w:r w:rsidR="00AE7824">
        <w:rPr>
          <w:color w:val="000000"/>
          <w:lang w:eastAsia="de-CH"/>
        </w:rPr>
        <w:t>edene Verarbeitungsverfahren</w:t>
      </w:r>
      <w:r w:rsidR="00402AF0">
        <w:rPr>
          <w:color w:val="000000"/>
          <w:lang w:eastAsia="de-CH"/>
        </w:rPr>
        <w:t>,</w:t>
      </w:r>
      <w:r w:rsidR="00AE7824">
        <w:rPr>
          <w:color w:val="000000"/>
          <w:lang w:eastAsia="de-CH"/>
        </w:rPr>
        <w:t xml:space="preserve"> wie Spritzguss,</w:t>
      </w:r>
      <w:r w:rsidRPr="0087398B">
        <w:rPr>
          <w:color w:val="000000"/>
          <w:lang w:eastAsia="de-CH"/>
        </w:rPr>
        <w:t xml:space="preserve"> Extrusion </w:t>
      </w:r>
      <w:r w:rsidR="00AE7824">
        <w:rPr>
          <w:color w:val="000000"/>
          <w:lang w:eastAsia="de-CH"/>
        </w:rPr>
        <w:t>oder</w:t>
      </w:r>
      <w:r w:rsidRPr="0087398B">
        <w:rPr>
          <w:color w:val="000000"/>
          <w:lang w:eastAsia="de-CH"/>
        </w:rPr>
        <w:t xml:space="preserve"> Blasformen</w:t>
      </w:r>
      <w:r w:rsidR="00402AF0">
        <w:rPr>
          <w:color w:val="000000"/>
          <w:lang w:eastAsia="de-CH"/>
        </w:rPr>
        <w:t>,</w:t>
      </w:r>
      <w:bookmarkStart w:id="0" w:name="_GoBack"/>
      <w:bookmarkEnd w:id="0"/>
      <w:r w:rsidRPr="0087398B">
        <w:rPr>
          <w:color w:val="000000"/>
          <w:lang w:eastAsia="de-CH"/>
        </w:rPr>
        <w:t xml:space="preserve"> geeignet.</w:t>
      </w:r>
    </w:p>
    <w:p w14:paraId="127D9C68" w14:textId="77777777" w:rsidR="00B8478B" w:rsidRPr="00B8478B" w:rsidRDefault="00B8478B" w:rsidP="008F0C50">
      <w:pPr>
        <w:spacing w:before="120" w:line="360" w:lineRule="auto"/>
        <w:rPr>
          <w:b/>
          <w:sz w:val="20"/>
          <w:szCs w:val="20"/>
        </w:rPr>
      </w:pPr>
      <w:r w:rsidRPr="00B8478B">
        <w:rPr>
          <w:b/>
          <w:sz w:val="20"/>
          <w:szCs w:val="20"/>
        </w:rPr>
        <w:t xml:space="preserve">Über </w:t>
      </w:r>
      <w:r w:rsidR="002B30C2">
        <w:rPr>
          <w:b/>
          <w:sz w:val="20"/>
          <w:szCs w:val="20"/>
        </w:rPr>
        <w:t>Premix</w:t>
      </w:r>
      <w:r w:rsidRPr="00B8478B">
        <w:rPr>
          <w:b/>
          <w:sz w:val="20"/>
          <w:szCs w:val="20"/>
        </w:rPr>
        <w:t>:</w:t>
      </w:r>
    </w:p>
    <w:p w14:paraId="690E5CBD" w14:textId="1FF0B6FF" w:rsidR="001B5D9F" w:rsidRDefault="002B30C2" w:rsidP="00784B02">
      <w:pPr>
        <w:rPr>
          <w:sz w:val="20"/>
          <w:szCs w:val="20"/>
        </w:rPr>
      </w:pPr>
      <w:r w:rsidRPr="002B30C2">
        <w:rPr>
          <w:sz w:val="20"/>
          <w:szCs w:val="20"/>
        </w:rPr>
        <w:t xml:space="preserve">PREMIX </w:t>
      </w:r>
      <w:r>
        <w:rPr>
          <w:sz w:val="20"/>
          <w:szCs w:val="20"/>
        </w:rPr>
        <w:t>(</w:t>
      </w:r>
      <w:hyperlink r:id="rId10" w:history="1">
        <w:r w:rsidRPr="002B30C2">
          <w:rPr>
            <w:sz w:val="20"/>
            <w:szCs w:val="20"/>
          </w:rPr>
          <w:t>www.premixgroup.com</w:t>
        </w:r>
      </w:hyperlink>
      <w:r w:rsidRPr="002B30C2">
        <w:rPr>
          <w:sz w:val="20"/>
          <w:szCs w:val="20"/>
        </w:rPr>
        <w:t xml:space="preserve">) ist </w:t>
      </w:r>
      <w:r w:rsidR="000C78CD">
        <w:rPr>
          <w:sz w:val="20"/>
          <w:szCs w:val="20"/>
        </w:rPr>
        <w:t>ein</w:t>
      </w:r>
      <w:r w:rsidRPr="002B30C2">
        <w:rPr>
          <w:sz w:val="20"/>
          <w:szCs w:val="20"/>
        </w:rPr>
        <w:t xml:space="preserve"> global führende</w:t>
      </w:r>
      <w:r w:rsidR="000C78CD">
        <w:rPr>
          <w:sz w:val="20"/>
          <w:szCs w:val="20"/>
        </w:rPr>
        <w:t>r</w:t>
      </w:r>
      <w:r w:rsidRPr="002B30C2">
        <w:rPr>
          <w:sz w:val="20"/>
          <w:szCs w:val="20"/>
        </w:rPr>
        <w:t xml:space="preserve"> Hersteller elektrisch leitfähiger und ableitender Polymercompounds</w:t>
      </w:r>
      <w:r>
        <w:rPr>
          <w:sz w:val="20"/>
          <w:szCs w:val="20"/>
        </w:rPr>
        <w:t xml:space="preserve">. Das Unternehmen aus dem finnischen </w:t>
      </w:r>
      <w:proofErr w:type="spellStart"/>
      <w:r w:rsidRPr="00A9093D">
        <w:rPr>
          <w:sz w:val="20"/>
          <w:szCs w:val="20"/>
        </w:rPr>
        <w:t>Rajamäki</w:t>
      </w:r>
      <w:proofErr w:type="spellEnd"/>
      <w:r w:rsidRPr="002B30C2">
        <w:rPr>
          <w:sz w:val="20"/>
          <w:szCs w:val="20"/>
        </w:rPr>
        <w:t xml:space="preserve"> </w:t>
      </w:r>
      <w:r w:rsidR="00A9093D">
        <w:rPr>
          <w:sz w:val="20"/>
          <w:szCs w:val="20"/>
        </w:rPr>
        <w:t>gehörte in den 1980er Jahren zu den Pionieren im Bereich der elektrisch leitfähigen Polymere. Heute bietet Premix</w:t>
      </w:r>
      <w:r w:rsidR="00A9093D" w:rsidRPr="00A9093D">
        <w:rPr>
          <w:sz w:val="20"/>
          <w:szCs w:val="20"/>
        </w:rPr>
        <w:t xml:space="preserve"> ein umfassendes Produktportfolio an elektrisch leitfähigen PRE-ELEC</w:t>
      </w:r>
      <w:r w:rsidR="000C78CD" w:rsidRPr="000C78CD">
        <w:rPr>
          <w:sz w:val="20"/>
          <w:szCs w:val="20"/>
          <w:vertAlign w:val="superscript"/>
        </w:rPr>
        <w:t>®</w:t>
      </w:r>
      <w:r w:rsidR="00A9093D" w:rsidRPr="00A9093D">
        <w:rPr>
          <w:sz w:val="20"/>
          <w:szCs w:val="20"/>
        </w:rPr>
        <w:t>-Compounds oder -Konzentraten und statisch dissipativen PRE-ELEC</w:t>
      </w:r>
      <w:r w:rsidR="000C78CD" w:rsidRPr="000C78CD">
        <w:rPr>
          <w:sz w:val="20"/>
          <w:szCs w:val="20"/>
          <w:vertAlign w:val="superscript"/>
        </w:rPr>
        <w:t>®</w:t>
      </w:r>
      <w:r w:rsidR="00A9093D" w:rsidRPr="00A9093D">
        <w:rPr>
          <w:sz w:val="20"/>
          <w:szCs w:val="20"/>
        </w:rPr>
        <w:t>-ESD-</w:t>
      </w:r>
      <w:proofErr w:type="spellStart"/>
      <w:r w:rsidR="00A9093D" w:rsidRPr="00A9093D">
        <w:rPr>
          <w:sz w:val="20"/>
          <w:szCs w:val="20"/>
        </w:rPr>
        <w:t>Compounds</w:t>
      </w:r>
      <w:proofErr w:type="spellEnd"/>
      <w:r w:rsidR="00A9093D" w:rsidRPr="00A9093D">
        <w:rPr>
          <w:sz w:val="20"/>
          <w:szCs w:val="20"/>
        </w:rPr>
        <w:t xml:space="preserve"> </w:t>
      </w:r>
      <w:r w:rsidR="00B2583B">
        <w:rPr>
          <w:sz w:val="20"/>
          <w:szCs w:val="20"/>
        </w:rPr>
        <w:t>an</w:t>
      </w:r>
      <w:r w:rsidR="00A9093D" w:rsidRPr="00A9093D">
        <w:rPr>
          <w:sz w:val="20"/>
          <w:szCs w:val="20"/>
        </w:rPr>
        <w:t>.</w:t>
      </w:r>
    </w:p>
    <w:p w14:paraId="70A91320" w14:textId="77777777" w:rsidR="00784B02" w:rsidRDefault="00784B02" w:rsidP="00784B02">
      <w:pPr>
        <w:rPr>
          <w:sz w:val="20"/>
          <w:szCs w:val="20"/>
        </w:rPr>
      </w:pPr>
    </w:p>
    <w:p w14:paraId="214F9F33" w14:textId="77777777" w:rsidR="00784B02" w:rsidRDefault="00784B02" w:rsidP="00784B02">
      <w:pPr>
        <w:rPr>
          <w:b/>
          <w:sz w:val="20"/>
          <w:szCs w:val="20"/>
        </w:rPr>
      </w:pPr>
    </w:p>
    <w:p w14:paraId="4BD95854" w14:textId="77777777" w:rsidR="002F241D" w:rsidRPr="00A83B8D" w:rsidRDefault="002F241D" w:rsidP="008F0C50">
      <w:pPr>
        <w:spacing w:before="120" w:line="360" w:lineRule="auto"/>
        <w:rPr>
          <w:b/>
          <w:sz w:val="20"/>
          <w:szCs w:val="20"/>
        </w:rPr>
      </w:pPr>
      <w:r w:rsidRPr="00A83B8D">
        <w:rPr>
          <w:b/>
          <w:sz w:val="20"/>
          <w:szCs w:val="20"/>
        </w:rPr>
        <w:lastRenderedPageBreak/>
        <w:t>Über RESINEX</w:t>
      </w:r>
      <w:r w:rsidR="000C78CD">
        <w:rPr>
          <w:b/>
          <w:sz w:val="20"/>
          <w:szCs w:val="20"/>
        </w:rPr>
        <w:t>:</w:t>
      </w:r>
    </w:p>
    <w:p w14:paraId="6C1E7730" w14:textId="77777777" w:rsidR="00534713" w:rsidRPr="002F241D" w:rsidRDefault="00534713" w:rsidP="007E1FC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tLeast"/>
        <w:rPr>
          <w:rFonts w:eastAsia="Times New Roman" w:cs="Times New Roman"/>
          <w:lang w:eastAsia="de-DE"/>
        </w:rPr>
      </w:pPr>
      <w:r w:rsidRPr="00534713">
        <w:rPr>
          <w:rFonts w:eastAsia="Times New Roman" w:cs="Times New Roman"/>
          <w:lang w:eastAsia="de-DE"/>
        </w:rPr>
        <w:t xml:space="preserve">RESINEX (www.resinex.com), unter dem Dach der internationalen Ravago Gruppe, gehört zu den Branchenführern </w:t>
      </w:r>
      <w:r w:rsidR="002B30C2">
        <w:rPr>
          <w:rFonts w:eastAsia="Times New Roman" w:cs="Times New Roman"/>
          <w:lang w:eastAsia="de-DE"/>
        </w:rPr>
        <w:t xml:space="preserve">der Kunststoffdistribution </w:t>
      </w:r>
      <w:r w:rsidRPr="00534713">
        <w:rPr>
          <w:rFonts w:eastAsia="Times New Roman" w:cs="Times New Roman"/>
          <w:lang w:eastAsia="de-DE"/>
        </w:rPr>
        <w:t xml:space="preserve">in Europa. Mehr als dreißig Niederlassungen und lokale Läger decken den gesamten Kontinent und die Türkei ab. Das Lieferprogramm umfasst nahezu die komplette Palette der technischen Thermoplaste, Standardkunststoffe, Thermoplastischen Elastomere, Natur- u. Synthesekautschuke, Rezyklate, funktionalen Additive und Farbkonzentrate (Masterbatche). Darüber hinaus bietet der </w:t>
      </w:r>
      <w:proofErr w:type="spellStart"/>
      <w:r w:rsidRPr="00534713">
        <w:rPr>
          <w:rFonts w:eastAsia="Times New Roman" w:cs="Times New Roman"/>
          <w:lang w:eastAsia="de-DE"/>
        </w:rPr>
        <w:t>Distributeur</w:t>
      </w:r>
      <w:proofErr w:type="spellEnd"/>
      <w:r w:rsidRPr="00534713">
        <w:rPr>
          <w:rFonts w:eastAsia="Times New Roman" w:cs="Times New Roman"/>
          <w:lang w:eastAsia="de-DE"/>
        </w:rPr>
        <w:t xml:space="preserve"> dem Verarbeiter kompetente und individuelle Beratung in allen Entwicklungs- und Fertigungsfragen.</w:t>
      </w:r>
    </w:p>
    <w:p w14:paraId="67CF631F" w14:textId="77777777" w:rsidR="000B043F" w:rsidRPr="00B01F1A" w:rsidRDefault="00602F8D" w:rsidP="00A83B8D">
      <w:pPr>
        <w:autoSpaceDE w:val="0"/>
        <w:autoSpaceDN w:val="0"/>
        <w:adjustRightInd w:val="0"/>
        <w:spacing w:before="120"/>
        <w:rPr>
          <w:u w:val="single"/>
        </w:rPr>
      </w:pPr>
      <w:r>
        <w:rPr>
          <w:u w:val="single"/>
        </w:rPr>
        <w:t>R</w:t>
      </w:r>
      <w:r w:rsidR="00BE07C7" w:rsidRPr="00B01F1A">
        <w:rPr>
          <w:u w:val="single"/>
        </w:rPr>
        <w:t>edaktionelle Rückfragen bitte an</w:t>
      </w:r>
      <w:r w:rsidR="000B043F" w:rsidRPr="00B01F1A">
        <w:rPr>
          <w:u w:val="single"/>
        </w:rPr>
        <w:t>:</w:t>
      </w:r>
    </w:p>
    <w:p w14:paraId="1A1A91AD" w14:textId="77777777" w:rsidR="000B043F" w:rsidRPr="00B01F1A" w:rsidRDefault="000B043F" w:rsidP="00B01F1A">
      <w:pPr>
        <w:autoSpaceDE w:val="0"/>
        <w:autoSpaceDN w:val="0"/>
        <w:adjustRightInd w:val="0"/>
      </w:pPr>
      <w:r w:rsidRPr="00B01F1A">
        <w:t>RESINEX Germany GmbH</w:t>
      </w:r>
      <w:r w:rsidR="00A83B8D">
        <w:t xml:space="preserve">, </w:t>
      </w:r>
      <w:r w:rsidR="00BF0D22" w:rsidRPr="00B01F1A">
        <w:t>Gernsheimer Str. 1</w:t>
      </w:r>
      <w:r w:rsidR="00BF0D22">
        <w:t xml:space="preserve">, </w:t>
      </w:r>
      <w:r w:rsidR="00BF0D22" w:rsidRPr="00B01F1A">
        <w:t>64673 Zwingenberg</w:t>
      </w:r>
    </w:p>
    <w:p w14:paraId="08536587" w14:textId="77777777" w:rsidR="000B043F" w:rsidRPr="00B01F1A" w:rsidRDefault="000B043F">
      <w:pPr>
        <w:autoSpaceDE w:val="0"/>
        <w:autoSpaceDN w:val="0"/>
        <w:adjustRightInd w:val="0"/>
      </w:pPr>
      <w:r w:rsidRPr="00B01F1A">
        <w:t>Michael Fischer</w:t>
      </w:r>
      <w:r w:rsidR="00602F8D">
        <w:t xml:space="preserve">, </w:t>
      </w:r>
      <w:hyperlink r:id="rId11" w:history="1">
        <w:r w:rsidR="00602F8D" w:rsidRPr="00B01F1A">
          <w:t>michael.fischer@resinex.de</w:t>
        </w:r>
      </w:hyperlink>
    </w:p>
    <w:p w14:paraId="026AB10E" w14:textId="77777777" w:rsidR="000B043F" w:rsidRPr="00B01F1A" w:rsidRDefault="000B043F">
      <w:pPr>
        <w:autoSpaceDE w:val="0"/>
        <w:autoSpaceDN w:val="0"/>
        <w:adjustRightInd w:val="0"/>
      </w:pPr>
      <w:r w:rsidRPr="00B01F1A">
        <w:t>Tel.: +49 (0) 6251 7707-147, Fax: -347</w:t>
      </w:r>
      <w:r w:rsidR="00A83B8D">
        <w:t xml:space="preserve">, </w:t>
      </w:r>
      <w:r w:rsidRPr="00B01F1A">
        <w:t>Mobil: +49 (0) 171 9733269</w:t>
      </w:r>
    </w:p>
    <w:p w14:paraId="521724BA" w14:textId="77777777" w:rsidR="00602F8D" w:rsidRPr="00602F8D" w:rsidRDefault="00602F8D" w:rsidP="00A83B8D">
      <w:pPr>
        <w:autoSpaceDE w:val="0"/>
        <w:autoSpaceDN w:val="0"/>
        <w:adjustRightInd w:val="0"/>
        <w:spacing w:before="120"/>
        <w:rPr>
          <w:u w:val="single"/>
        </w:rPr>
      </w:pPr>
      <w:r w:rsidRPr="00602F8D">
        <w:rPr>
          <w:u w:val="single"/>
        </w:rPr>
        <w:t>Belegexemplare und Hinweise auf Online-Veröffentlichungen bitte an:</w:t>
      </w:r>
    </w:p>
    <w:p w14:paraId="5CE8C7B7" w14:textId="77777777" w:rsidR="00A83B8D" w:rsidRDefault="00602F8D" w:rsidP="002F241D">
      <w:pPr>
        <w:autoSpaceDE w:val="0"/>
        <w:autoSpaceDN w:val="0"/>
        <w:adjustRightInd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Konsens PR GmbH&amp;Co. KG</w:t>
      </w:r>
      <w:r w:rsidR="00A83B8D">
        <w:rPr>
          <w:rStyle w:val="Hyperlink"/>
          <w:color w:val="auto"/>
          <w:u w:val="none"/>
        </w:rPr>
        <w:t xml:space="preserve">, </w:t>
      </w:r>
      <w:r w:rsidR="005D06E8">
        <w:rPr>
          <w:rStyle w:val="Hyperlink"/>
          <w:color w:val="auto"/>
          <w:u w:val="none"/>
        </w:rPr>
        <w:t>Im Kühlen Grund 10</w:t>
      </w:r>
      <w:r>
        <w:rPr>
          <w:rStyle w:val="Hyperlink"/>
          <w:color w:val="auto"/>
          <w:u w:val="none"/>
        </w:rPr>
        <w:t>, 64823 Groß-Umstadt</w:t>
      </w:r>
    </w:p>
    <w:p w14:paraId="6942A7A5" w14:textId="77777777" w:rsidR="00602F8D" w:rsidRPr="00146A9C" w:rsidRDefault="005D06E8" w:rsidP="002F241D">
      <w:pPr>
        <w:autoSpaceDE w:val="0"/>
        <w:autoSpaceDN w:val="0"/>
        <w:adjustRightInd w:val="0"/>
        <w:rPr>
          <w:color w:val="000000"/>
          <w:lang w:eastAsia="de-CH"/>
        </w:rPr>
      </w:pPr>
      <w:r w:rsidRPr="00146A9C">
        <w:rPr>
          <w:rStyle w:val="Hyperlink"/>
          <w:color w:val="auto"/>
          <w:u w:val="none"/>
        </w:rPr>
        <w:t>Philipp Lubos</w:t>
      </w:r>
      <w:r w:rsidR="00602F8D" w:rsidRPr="00146A9C">
        <w:rPr>
          <w:rStyle w:val="Hyperlink"/>
          <w:color w:val="auto"/>
          <w:u w:val="none"/>
        </w:rPr>
        <w:t xml:space="preserve">, </w:t>
      </w:r>
      <w:hyperlink r:id="rId12" w:history="1">
        <w:r w:rsidR="00602F8D" w:rsidRPr="00146A9C">
          <w:rPr>
            <w:color w:val="000000"/>
            <w:lang w:eastAsia="de-CH"/>
          </w:rPr>
          <w:t>mail@konsens.de</w:t>
        </w:r>
      </w:hyperlink>
    </w:p>
    <w:p w14:paraId="3D2661EC" w14:textId="77777777" w:rsidR="00602F8D" w:rsidRPr="00146A9C" w:rsidRDefault="00602F8D" w:rsidP="002F241D">
      <w:pPr>
        <w:autoSpaceDE w:val="0"/>
        <w:autoSpaceDN w:val="0"/>
        <w:adjustRightInd w:val="0"/>
        <w:rPr>
          <w:rStyle w:val="Hyperlink"/>
          <w:color w:val="auto"/>
          <w:u w:val="none"/>
        </w:rPr>
      </w:pPr>
      <w:r w:rsidRPr="00146A9C">
        <w:rPr>
          <w:rStyle w:val="Hyperlink"/>
          <w:color w:val="auto"/>
          <w:u w:val="none"/>
        </w:rPr>
        <w:t>Tel.: +49 (0) 6078 93630</w:t>
      </w:r>
    </w:p>
    <w:p w14:paraId="048773AE" w14:textId="77777777" w:rsidR="008F7BEF" w:rsidRPr="00BF0D22" w:rsidRDefault="008F7BEF" w:rsidP="00FC0A83">
      <w:pPr>
        <w:pStyle w:val="Download-Hinweis"/>
        <w:ind w:right="0"/>
        <w:rPr>
          <w:rFonts w:cs="Arial"/>
          <w:color w:val="auto"/>
          <w:szCs w:val="24"/>
        </w:rPr>
      </w:pPr>
      <w:r w:rsidRPr="00AD42E4">
        <w:rPr>
          <w:rFonts w:cs="Arial"/>
          <w:color w:val="auto"/>
          <w:szCs w:val="24"/>
        </w:rPr>
        <w:t xml:space="preserve">Sie finden diese </w:t>
      </w:r>
      <w:r w:rsidRPr="00AD42E4">
        <w:rPr>
          <w:rFonts w:cs="Arial"/>
          <w:color w:val="auto"/>
          <w:szCs w:val="24"/>
          <w:u w:val="single"/>
        </w:rPr>
        <w:t>Pressemitteilung als Word-Datei</w:t>
      </w:r>
      <w:r w:rsidRPr="00AD42E4">
        <w:rPr>
          <w:rFonts w:cs="Arial"/>
          <w:color w:val="auto"/>
          <w:szCs w:val="24"/>
        </w:rPr>
        <w:t xml:space="preserve"> zum Herunterladen unter: htt</w:t>
      </w:r>
      <w:r>
        <w:rPr>
          <w:rFonts w:cs="Arial"/>
          <w:color w:val="auto"/>
          <w:szCs w:val="24"/>
        </w:rPr>
        <w:t>p://www.konsens.de/resinex.html</w:t>
      </w:r>
    </w:p>
    <w:sectPr w:rsidR="008F7BEF" w:rsidRPr="00BF0D22" w:rsidSect="00B415E6">
      <w:headerReference w:type="default" r:id="rId13"/>
      <w:footerReference w:type="default" r:id="rId14"/>
      <w:pgSz w:w="11907" w:h="16839" w:code="9"/>
      <w:pgMar w:top="1985" w:right="1417" w:bottom="709" w:left="1417" w:header="720" w:footer="49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A7911" w14:textId="77777777" w:rsidR="000B2D45" w:rsidRDefault="000B2D45">
      <w:r>
        <w:separator/>
      </w:r>
    </w:p>
  </w:endnote>
  <w:endnote w:type="continuationSeparator" w:id="0">
    <w:p w14:paraId="41B70826" w14:textId="77777777" w:rsidR="000B2D45" w:rsidRDefault="000B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SmHaSB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C0654" w14:textId="77777777" w:rsidR="00DD7101" w:rsidRDefault="00DD7101" w:rsidP="00675A4A">
    <w:pPr>
      <w:pStyle w:val="Fuzeile"/>
      <w:jc w:val="center"/>
      <w:rPr>
        <w:sz w:val="16"/>
      </w:rPr>
    </w:pPr>
    <w:r>
      <w:rPr>
        <w:sz w:val="16"/>
      </w:rPr>
      <w:t xml:space="preserve">RESINEX Germany GmbH, Gernsheimer Straße 1, 64673 </w:t>
    </w:r>
    <w:r w:rsidR="005335F8">
      <w:rPr>
        <w:sz w:val="16"/>
      </w:rPr>
      <w:t xml:space="preserve">Zwingenberg, Tel.: +49 (0) 6251 </w:t>
    </w:r>
    <w:r>
      <w:rPr>
        <w:sz w:val="16"/>
      </w:rPr>
      <w:t>7707-0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3F35E" w14:textId="77777777" w:rsidR="000B2D45" w:rsidRDefault="000B2D45">
      <w:r>
        <w:separator/>
      </w:r>
    </w:p>
  </w:footnote>
  <w:footnote w:type="continuationSeparator" w:id="0">
    <w:p w14:paraId="735844F2" w14:textId="77777777" w:rsidR="000B2D45" w:rsidRDefault="000B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311"/>
      <w:gridCol w:w="3978"/>
    </w:tblGrid>
    <w:tr w:rsidR="00A216B6" w:rsidRPr="00BC24BE" w14:paraId="09FE941C" w14:textId="77777777" w:rsidTr="00BC24BE">
      <w:tc>
        <w:tcPr>
          <w:tcW w:w="5311" w:type="dxa"/>
          <w:shd w:val="clear" w:color="auto" w:fill="auto"/>
          <w:vAlign w:val="bottom"/>
        </w:tcPr>
        <w:p w14:paraId="033F95CB" w14:textId="77777777" w:rsidR="00A216B6" w:rsidRPr="00BC24BE" w:rsidRDefault="00A216B6" w:rsidP="00BC24BE">
          <w:pPr>
            <w:tabs>
              <w:tab w:val="center" w:pos="6663"/>
            </w:tabs>
            <w:rPr>
              <w:rFonts w:ascii="Times New Roman" w:hAnsi="Times New Roman"/>
            </w:rPr>
          </w:pPr>
        </w:p>
      </w:tc>
      <w:tc>
        <w:tcPr>
          <w:tcW w:w="3978" w:type="dxa"/>
          <w:shd w:val="clear" w:color="auto" w:fill="auto"/>
        </w:tcPr>
        <w:p w14:paraId="39624505" w14:textId="77777777" w:rsidR="00A216B6" w:rsidRPr="00BC24BE" w:rsidRDefault="00670411" w:rsidP="00BC24BE">
          <w:pPr>
            <w:tabs>
              <w:tab w:val="center" w:pos="6663"/>
            </w:tabs>
            <w:jc w:val="right"/>
            <w:rPr>
              <w:rFonts w:ascii="Times New Roman" w:hAnsi="Times New Roman"/>
              <w:noProof/>
            </w:rPr>
          </w:pPr>
          <w:r>
            <w:rPr>
              <w:noProof/>
            </w:rPr>
            <w:drawing>
              <wp:inline distT="0" distB="0" distL="0" distR="0" wp14:anchorId="58295605" wp14:editId="44D5D8B4">
                <wp:extent cx="2388870" cy="399415"/>
                <wp:effectExtent l="0" t="0" r="0" b="635"/>
                <wp:docPr id="2" name="Bild 2" descr="RESINEX small - high resolu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INEX small - high resolu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87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16B6" w:rsidRPr="00BC24BE" w14:paraId="1C48EDFB" w14:textId="77777777" w:rsidTr="00BC24BE">
      <w:tc>
        <w:tcPr>
          <w:tcW w:w="5311" w:type="dxa"/>
          <w:shd w:val="clear" w:color="auto" w:fill="auto"/>
          <w:vAlign w:val="bottom"/>
        </w:tcPr>
        <w:p w14:paraId="06849EA3" w14:textId="77777777" w:rsidR="00A216B6" w:rsidRPr="00A216B6" w:rsidRDefault="00A216B6" w:rsidP="00A216B6">
          <w:pPr>
            <w:pStyle w:val="berschrift2"/>
          </w:pPr>
        </w:p>
      </w:tc>
      <w:tc>
        <w:tcPr>
          <w:tcW w:w="3978" w:type="dxa"/>
          <w:shd w:val="clear" w:color="auto" w:fill="auto"/>
          <w:vAlign w:val="bottom"/>
        </w:tcPr>
        <w:p w14:paraId="28C689FD" w14:textId="77777777" w:rsidR="00E23451" w:rsidRDefault="00E23451" w:rsidP="00BC24BE">
          <w:pPr>
            <w:pStyle w:val="berschrift2"/>
            <w:jc w:val="right"/>
            <w:rPr>
              <w:color w:val="767171"/>
              <w:sz w:val="32"/>
            </w:rPr>
          </w:pPr>
        </w:p>
        <w:p w14:paraId="63A88048" w14:textId="77777777" w:rsidR="00602F8D" w:rsidRPr="00602F8D" w:rsidRDefault="00602F8D" w:rsidP="00602F8D"/>
        <w:p w14:paraId="524E2E09" w14:textId="77777777" w:rsidR="00A216B6" w:rsidRPr="00A216B6" w:rsidRDefault="00E23451" w:rsidP="00BC24BE">
          <w:pPr>
            <w:pStyle w:val="berschrift2"/>
            <w:jc w:val="right"/>
          </w:pPr>
          <w:r>
            <w:rPr>
              <w:color w:val="767171"/>
              <w:sz w:val="32"/>
            </w:rPr>
            <w:t>P</w:t>
          </w:r>
          <w:r w:rsidR="00A216B6" w:rsidRPr="00BC24BE">
            <w:rPr>
              <w:color w:val="767171"/>
              <w:sz w:val="32"/>
            </w:rPr>
            <w:t>RESSEMITTEILUNG</w:t>
          </w:r>
        </w:p>
      </w:tc>
    </w:tr>
  </w:tbl>
  <w:p w14:paraId="34DE8070" w14:textId="77777777" w:rsidR="00534713" w:rsidRPr="004C540B" w:rsidRDefault="00534713" w:rsidP="000705BC">
    <w:pPr>
      <w:jc w:val="right"/>
      <w:rPr>
        <w:rFonts w:ascii="Times New Roman" w:hAnsi="Times New Roman"/>
        <w:lang w:val="en-GB"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339"/>
    <w:multiLevelType w:val="hybridMultilevel"/>
    <w:tmpl w:val="23A6E868"/>
    <w:lvl w:ilvl="0" w:tplc="DFD0BDC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262796E"/>
    <w:multiLevelType w:val="hybridMultilevel"/>
    <w:tmpl w:val="E30022B0"/>
    <w:lvl w:ilvl="0" w:tplc="4A6C7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810124"/>
    <w:multiLevelType w:val="hybridMultilevel"/>
    <w:tmpl w:val="E4E48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C6150"/>
    <w:multiLevelType w:val="hybridMultilevel"/>
    <w:tmpl w:val="F7BEE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725FF"/>
    <w:multiLevelType w:val="hybridMultilevel"/>
    <w:tmpl w:val="7714A186"/>
    <w:lvl w:ilvl="0" w:tplc="F4060DC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FC"/>
    <w:rsid w:val="00007B78"/>
    <w:rsid w:val="000104DC"/>
    <w:rsid w:val="00014702"/>
    <w:rsid w:val="000168E4"/>
    <w:rsid w:val="00020BD7"/>
    <w:rsid w:val="0002429A"/>
    <w:rsid w:val="00025E3B"/>
    <w:rsid w:val="00026323"/>
    <w:rsid w:val="00031384"/>
    <w:rsid w:val="0003224B"/>
    <w:rsid w:val="00035AB0"/>
    <w:rsid w:val="000414A7"/>
    <w:rsid w:val="0004257C"/>
    <w:rsid w:val="00046134"/>
    <w:rsid w:val="000469F6"/>
    <w:rsid w:val="000475EB"/>
    <w:rsid w:val="00050301"/>
    <w:rsid w:val="00051E3D"/>
    <w:rsid w:val="00052DDC"/>
    <w:rsid w:val="00064B87"/>
    <w:rsid w:val="00066F52"/>
    <w:rsid w:val="000704EE"/>
    <w:rsid w:val="000705BC"/>
    <w:rsid w:val="00084DFF"/>
    <w:rsid w:val="000877D2"/>
    <w:rsid w:val="00091FF8"/>
    <w:rsid w:val="000A35FD"/>
    <w:rsid w:val="000A5930"/>
    <w:rsid w:val="000B043F"/>
    <w:rsid w:val="000B142E"/>
    <w:rsid w:val="000B1EE3"/>
    <w:rsid w:val="000B2D45"/>
    <w:rsid w:val="000B7325"/>
    <w:rsid w:val="000C1862"/>
    <w:rsid w:val="000C78CD"/>
    <w:rsid w:val="000D0981"/>
    <w:rsid w:val="000D31A6"/>
    <w:rsid w:val="000D4ED7"/>
    <w:rsid w:val="000D5A7D"/>
    <w:rsid w:val="000D7684"/>
    <w:rsid w:val="000E55F7"/>
    <w:rsid w:val="000F3DB6"/>
    <w:rsid w:val="000F52FB"/>
    <w:rsid w:val="000F5EDD"/>
    <w:rsid w:val="000F74FC"/>
    <w:rsid w:val="00100BF5"/>
    <w:rsid w:val="00101728"/>
    <w:rsid w:val="00102381"/>
    <w:rsid w:val="00102861"/>
    <w:rsid w:val="001029B3"/>
    <w:rsid w:val="00103A8D"/>
    <w:rsid w:val="0010486C"/>
    <w:rsid w:val="00113527"/>
    <w:rsid w:val="0012113A"/>
    <w:rsid w:val="00131BB3"/>
    <w:rsid w:val="00134CC4"/>
    <w:rsid w:val="00135611"/>
    <w:rsid w:val="00137A7E"/>
    <w:rsid w:val="00143A79"/>
    <w:rsid w:val="00145AA5"/>
    <w:rsid w:val="00146A9C"/>
    <w:rsid w:val="00146CC2"/>
    <w:rsid w:val="00147943"/>
    <w:rsid w:val="00147BBE"/>
    <w:rsid w:val="001524E1"/>
    <w:rsid w:val="001549F1"/>
    <w:rsid w:val="001670B2"/>
    <w:rsid w:val="00167509"/>
    <w:rsid w:val="001741B2"/>
    <w:rsid w:val="00176080"/>
    <w:rsid w:val="0017690A"/>
    <w:rsid w:val="001775D4"/>
    <w:rsid w:val="0018512E"/>
    <w:rsid w:val="00190A70"/>
    <w:rsid w:val="00191935"/>
    <w:rsid w:val="0019332A"/>
    <w:rsid w:val="00193EA7"/>
    <w:rsid w:val="00194212"/>
    <w:rsid w:val="001B3106"/>
    <w:rsid w:val="001B44F4"/>
    <w:rsid w:val="001B5D9F"/>
    <w:rsid w:val="001B64DE"/>
    <w:rsid w:val="001B6DFC"/>
    <w:rsid w:val="001C01FB"/>
    <w:rsid w:val="001C1C6F"/>
    <w:rsid w:val="001C785C"/>
    <w:rsid w:val="001D4D86"/>
    <w:rsid w:val="001D574B"/>
    <w:rsid w:val="001E005B"/>
    <w:rsid w:val="001E19A5"/>
    <w:rsid w:val="001E38ED"/>
    <w:rsid w:val="001F0168"/>
    <w:rsid w:val="001F535F"/>
    <w:rsid w:val="002051BE"/>
    <w:rsid w:val="0021486B"/>
    <w:rsid w:val="00222152"/>
    <w:rsid w:val="002258E1"/>
    <w:rsid w:val="00226F42"/>
    <w:rsid w:val="0023167B"/>
    <w:rsid w:val="0023261A"/>
    <w:rsid w:val="00234AC8"/>
    <w:rsid w:val="0023516E"/>
    <w:rsid w:val="00240DD5"/>
    <w:rsid w:val="00241DEE"/>
    <w:rsid w:val="002422CC"/>
    <w:rsid w:val="00250783"/>
    <w:rsid w:val="0025177E"/>
    <w:rsid w:val="00253A40"/>
    <w:rsid w:val="00253DB8"/>
    <w:rsid w:val="002549A5"/>
    <w:rsid w:val="00264325"/>
    <w:rsid w:val="00265959"/>
    <w:rsid w:val="00266E2F"/>
    <w:rsid w:val="00267327"/>
    <w:rsid w:val="00270EE3"/>
    <w:rsid w:val="0027174F"/>
    <w:rsid w:val="00272090"/>
    <w:rsid w:val="00274B9C"/>
    <w:rsid w:val="00282687"/>
    <w:rsid w:val="00287216"/>
    <w:rsid w:val="002966D4"/>
    <w:rsid w:val="002A091A"/>
    <w:rsid w:val="002A1A25"/>
    <w:rsid w:val="002A3BA3"/>
    <w:rsid w:val="002A443B"/>
    <w:rsid w:val="002B30C2"/>
    <w:rsid w:val="002B5140"/>
    <w:rsid w:val="002C29F3"/>
    <w:rsid w:val="002D13ED"/>
    <w:rsid w:val="002D46E0"/>
    <w:rsid w:val="002D62F0"/>
    <w:rsid w:val="002D7F5B"/>
    <w:rsid w:val="002E032D"/>
    <w:rsid w:val="002E0B97"/>
    <w:rsid w:val="002E3BFE"/>
    <w:rsid w:val="002E46A7"/>
    <w:rsid w:val="002F182C"/>
    <w:rsid w:val="002F241D"/>
    <w:rsid w:val="002F4702"/>
    <w:rsid w:val="002F4DA0"/>
    <w:rsid w:val="002F5FFD"/>
    <w:rsid w:val="002F6BA9"/>
    <w:rsid w:val="002F6D49"/>
    <w:rsid w:val="0030104A"/>
    <w:rsid w:val="00303F70"/>
    <w:rsid w:val="00307510"/>
    <w:rsid w:val="00310CD4"/>
    <w:rsid w:val="003156DA"/>
    <w:rsid w:val="003162B6"/>
    <w:rsid w:val="003201ED"/>
    <w:rsid w:val="003228C6"/>
    <w:rsid w:val="00325474"/>
    <w:rsid w:val="00327F9C"/>
    <w:rsid w:val="00330DA8"/>
    <w:rsid w:val="003323DC"/>
    <w:rsid w:val="00332626"/>
    <w:rsid w:val="00340016"/>
    <w:rsid w:val="003436BB"/>
    <w:rsid w:val="00346D31"/>
    <w:rsid w:val="00352672"/>
    <w:rsid w:val="00353C32"/>
    <w:rsid w:val="0035530D"/>
    <w:rsid w:val="00356C35"/>
    <w:rsid w:val="00360507"/>
    <w:rsid w:val="0036596E"/>
    <w:rsid w:val="003743B9"/>
    <w:rsid w:val="003748B4"/>
    <w:rsid w:val="0037694A"/>
    <w:rsid w:val="00377059"/>
    <w:rsid w:val="0037708D"/>
    <w:rsid w:val="00382B0F"/>
    <w:rsid w:val="003850ED"/>
    <w:rsid w:val="00386B5D"/>
    <w:rsid w:val="0038783A"/>
    <w:rsid w:val="00391D31"/>
    <w:rsid w:val="003A389B"/>
    <w:rsid w:val="003B75DD"/>
    <w:rsid w:val="003C51D7"/>
    <w:rsid w:val="003C77BC"/>
    <w:rsid w:val="003C7EA5"/>
    <w:rsid w:val="003D080A"/>
    <w:rsid w:val="003D207C"/>
    <w:rsid w:val="003D2E2E"/>
    <w:rsid w:val="003E0DDD"/>
    <w:rsid w:val="003E13FD"/>
    <w:rsid w:val="003E4F71"/>
    <w:rsid w:val="003E6944"/>
    <w:rsid w:val="003E6ACD"/>
    <w:rsid w:val="003F1B87"/>
    <w:rsid w:val="003F5559"/>
    <w:rsid w:val="00401C19"/>
    <w:rsid w:val="004027EC"/>
    <w:rsid w:val="00402AF0"/>
    <w:rsid w:val="004126FE"/>
    <w:rsid w:val="00415AA7"/>
    <w:rsid w:val="004224F8"/>
    <w:rsid w:val="00423D5E"/>
    <w:rsid w:val="0043287D"/>
    <w:rsid w:val="00434E0D"/>
    <w:rsid w:val="00437C77"/>
    <w:rsid w:val="00450001"/>
    <w:rsid w:val="004556C9"/>
    <w:rsid w:val="00457631"/>
    <w:rsid w:val="00463392"/>
    <w:rsid w:val="00465992"/>
    <w:rsid w:val="004670F8"/>
    <w:rsid w:val="0047584E"/>
    <w:rsid w:val="00484DCD"/>
    <w:rsid w:val="004977CE"/>
    <w:rsid w:val="00497B72"/>
    <w:rsid w:val="004A0C33"/>
    <w:rsid w:val="004A4B60"/>
    <w:rsid w:val="004A573F"/>
    <w:rsid w:val="004B1D09"/>
    <w:rsid w:val="004B1E4D"/>
    <w:rsid w:val="004C003A"/>
    <w:rsid w:val="004C4CD2"/>
    <w:rsid w:val="004D158C"/>
    <w:rsid w:val="004E0673"/>
    <w:rsid w:val="004E44B6"/>
    <w:rsid w:val="004E5658"/>
    <w:rsid w:val="004F0B88"/>
    <w:rsid w:val="004F4842"/>
    <w:rsid w:val="00501BB5"/>
    <w:rsid w:val="00511091"/>
    <w:rsid w:val="00515C55"/>
    <w:rsid w:val="00520150"/>
    <w:rsid w:val="00524610"/>
    <w:rsid w:val="005335F8"/>
    <w:rsid w:val="00534713"/>
    <w:rsid w:val="00535A5F"/>
    <w:rsid w:val="0053622F"/>
    <w:rsid w:val="0054050D"/>
    <w:rsid w:val="005429D9"/>
    <w:rsid w:val="0054332F"/>
    <w:rsid w:val="005451AE"/>
    <w:rsid w:val="0055204F"/>
    <w:rsid w:val="00557DF0"/>
    <w:rsid w:val="00570772"/>
    <w:rsid w:val="00570E03"/>
    <w:rsid w:val="00575A9E"/>
    <w:rsid w:val="005907CB"/>
    <w:rsid w:val="00591482"/>
    <w:rsid w:val="00596055"/>
    <w:rsid w:val="0059669F"/>
    <w:rsid w:val="005A5B92"/>
    <w:rsid w:val="005A6088"/>
    <w:rsid w:val="005A6F2A"/>
    <w:rsid w:val="005A6FEB"/>
    <w:rsid w:val="005B19DE"/>
    <w:rsid w:val="005B267F"/>
    <w:rsid w:val="005B61AE"/>
    <w:rsid w:val="005B7A30"/>
    <w:rsid w:val="005C37E4"/>
    <w:rsid w:val="005C5047"/>
    <w:rsid w:val="005D06E8"/>
    <w:rsid w:val="005D1008"/>
    <w:rsid w:val="005D4626"/>
    <w:rsid w:val="005D59D5"/>
    <w:rsid w:val="005E06AF"/>
    <w:rsid w:val="005F2947"/>
    <w:rsid w:val="005F6A40"/>
    <w:rsid w:val="005F72AC"/>
    <w:rsid w:val="00602F8D"/>
    <w:rsid w:val="00603713"/>
    <w:rsid w:val="00607E42"/>
    <w:rsid w:val="0062309B"/>
    <w:rsid w:val="0062571C"/>
    <w:rsid w:val="00630B06"/>
    <w:rsid w:val="00634B51"/>
    <w:rsid w:val="00636126"/>
    <w:rsid w:val="00636829"/>
    <w:rsid w:val="00650530"/>
    <w:rsid w:val="00650631"/>
    <w:rsid w:val="00651A54"/>
    <w:rsid w:val="006522B1"/>
    <w:rsid w:val="006577B8"/>
    <w:rsid w:val="00657C55"/>
    <w:rsid w:val="00660F65"/>
    <w:rsid w:val="00665B0E"/>
    <w:rsid w:val="00670411"/>
    <w:rsid w:val="00670A67"/>
    <w:rsid w:val="00673867"/>
    <w:rsid w:val="00674871"/>
    <w:rsid w:val="00675A4A"/>
    <w:rsid w:val="00676C93"/>
    <w:rsid w:val="006807F4"/>
    <w:rsid w:val="0068458B"/>
    <w:rsid w:val="00687157"/>
    <w:rsid w:val="006931B8"/>
    <w:rsid w:val="006A7416"/>
    <w:rsid w:val="006B65EF"/>
    <w:rsid w:val="006C3BB4"/>
    <w:rsid w:val="006C3E58"/>
    <w:rsid w:val="006D0D3A"/>
    <w:rsid w:val="006D219A"/>
    <w:rsid w:val="006D2DD7"/>
    <w:rsid w:val="006E1ACD"/>
    <w:rsid w:val="006E2520"/>
    <w:rsid w:val="006E4D01"/>
    <w:rsid w:val="006E6B01"/>
    <w:rsid w:val="006E7C66"/>
    <w:rsid w:val="00700A77"/>
    <w:rsid w:val="00701241"/>
    <w:rsid w:val="00705BF5"/>
    <w:rsid w:val="00706DE5"/>
    <w:rsid w:val="00710FBF"/>
    <w:rsid w:val="007119B0"/>
    <w:rsid w:val="00712531"/>
    <w:rsid w:val="00714411"/>
    <w:rsid w:val="007210D9"/>
    <w:rsid w:val="00721831"/>
    <w:rsid w:val="00721BF4"/>
    <w:rsid w:val="00726272"/>
    <w:rsid w:val="007266FA"/>
    <w:rsid w:val="00732783"/>
    <w:rsid w:val="00732795"/>
    <w:rsid w:val="0073386A"/>
    <w:rsid w:val="00733C6B"/>
    <w:rsid w:val="00735D35"/>
    <w:rsid w:val="007363C5"/>
    <w:rsid w:val="00736B74"/>
    <w:rsid w:val="007405F1"/>
    <w:rsid w:val="00742878"/>
    <w:rsid w:val="00751501"/>
    <w:rsid w:val="00764976"/>
    <w:rsid w:val="00764CEE"/>
    <w:rsid w:val="00767827"/>
    <w:rsid w:val="007729C6"/>
    <w:rsid w:val="007730E7"/>
    <w:rsid w:val="0077603D"/>
    <w:rsid w:val="007831AA"/>
    <w:rsid w:val="00784B02"/>
    <w:rsid w:val="007903C2"/>
    <w:rsid w:val="00791D15"/>
    <w:rsid w:val="0079258A"/>
    <w:rsid w:val="007A5BCD"/>
    <w:rsid w:val="007A6622"/>
    <w:rsid w:val="007B3BE7"/>
    <w:rsid w:val="007B601E"/>
    <w:rsid w:val="007C5EC5"/>
    <w:rsid w:val="007C6CFC"/>
    <w:rsid w:val="007C6FDC"/>
    <w:rsid w:val="007D2E32"/>
    <w:rsid w:val="007D375A"/>
    <w:rsid w:val="007D72C8"/>
    <w:rsid w:val="007E1B0B"/>
    <w:rsid w:val="007E1FC2"/>
    <w:rsid w:val="007E2CDE"/>
    <w:rsid w:val="007E5653"/>
    <w:rsid w:val="007E5DD6"/>
    <w:rsid w:val="007F2C31"/>
    <w:rsid w:val="007F3EF2"/>
    <w:rsid w:val="007F69B7"/>
    <w:rsid w:val="007F7B42"/>
    <w:rsid w:val="00802405"/>
    <w:rsid w:val="00802F87"/>
    <w:rsid w:val="008037C8"/>
    <w:rsid w:val="008051EA"/>
    <w:rsid w:val="00805C37"/>
    <w:rsid w:val="0081296A"/>
    <w:rsid w:val="008129DE"/>
    <w:rsid w:val="00814F37"/>
    <w:rsid w:val="00815A88"/>
    <w:rsid w:val="00817789"/>
    <w:rsid w:val="00824D55"/>
    <w:rsid w:val="0082567B"/>
    <w:rsid w:val="008263AF"/>
    <w:rsid w:val="00831D32"/>
    <w:rsid w:val="008321F6"/>
    <w:rsid w:val="00834E0F"/>
    <w:rsid w:val="00836B5E"/>
    <w:rsid w:val="0085020C"/>
    <w:rsid w:val="00852D57"/>
    <w:rsid w:val="00853A08"/>
    <w:rsid w:val="00860DF4"/>
    <w:rsid w:val="0086391E"/>
    <w:rsid w:val="00864666"/>
    <w:rsid w:val="0086569D"/>
    <w:rsid w:val="0086665C"/>
    <w:rsid w:val="0087398B"/>
    <w:rsid w:val="008747DE"/>
    <w:rsid w:val="008777CC"/>
    <w:rsid w:val="00881A0F"/>
    <w:rsid w:val="00884955"/>
    <w:rsid w:val="00885734"/>
    <w:rsid w:val="00890451"/>
    <w:rsid w:val="00891502"/>
    <w:rsid w:val="00891CD2"/>
    <w:rsid w:val="008974F3"/>
    <w:rsid w:val="008A0824"/>
    <w:rsid w:val="008A1502"/>
    <w:rsid w:val="008B25CA"/>
    <w:rsid w:val="008B4C83"/>
    <w:rsid w:val="008B5347"/>
    <w:rsid w:val="008D2A9C"/>
    <w:rsid w:val="008D4C30"/>
    <w:rsid w:val="008D4D5C"/>
    <w:rsid w:val="008E1C94"/>
    <w:rsid w:val="008E5DD9"/>
    <w:rsid w:val="008F02D4"/>
    <w:rsid w:val="008F0C50"/>
    <w:rsid w:val="008F3180"/>
    <w:rsid w:val="008F618C"/>
    <w:rsid w:val="008F7B08"/>
    <w:rsid w:val="008F7BEF"/>
    <w:rsid w:val="008F7FB9"/>
    <w:rsid w:val="00902096"/>
    <w:rsid w:val="00902191"/>
    <w:rsid w:val="0090502C"/>
    <w:rsid w:val="009167A2"/>
    <w:rsid w:val="00925F48"/>
    <w:rsid w:val="009269A5"/>
    <w:rsid w:val="00927809"/>
    <w:rsid w:val="009412E2"/>
    <w:rsid w:val="009431FF"/>
    <w:rsid w:val="0094573D"/>
    <w:rsid w:val="00946A7C"/>
    <w:rsid w:val="0094776F"/>
    <w:rsid w:val="009570E1"/>
    <w:rsid w:val="0096198B"/>
    <w:rsid w:val="00961EBA"/>
    <w:rsid w:val="00970117"/>
    <w:rsid w:val="009735D7"/>
    <w:rsid w:val="00974112"/>
    <w:rsid w:val="00980E0D"/>
    <w:rsid w:val="0098550C"/>
    <w:rsid w:val="009869E0"/>
    <w:rsid w:val="00994008"/>
    <w:rsid w:val="00995CB2"/>
    <w:rsid w:val="00995F66"/>
    <w:rsid w:val="009978EE"/>
    <w:rsid w:val="009A1468"/>
    <w:rsid w:val="009A174A"/>
    <w:rsid w:val="009A5031"/>
    <w:rsid w:val="009A7404"/>
    <w:rsid w:val="009B416C"/>
    <w:rsid w:val="009C1587"/>
    <w:rsid w:val="009C1B3E"/>
    <w:rsid w:val="009C3835"/>
    <w:rsid w:val="009C3C2E"/>
    <w:rsid w:val="009C3D14"/>
    <w:rsid w:val="009D195B"/>
    <w:rsid w:val="009E3334"/>
    <w:rsid w:val="009E455D"/>
    <w:rsid w:val="009E6A3C"/>
    <w:rsid w:val="009E7C3F"/>
    <w:rsid w:val="009F1A05"/>
    <w:rsid w:val="009F3101"/>
    <w:rsid w:val="009F3374"/>
    <w:rsid w:val="009F3B6D"/>
    <w:rsid w:val="009F6499"/>
    <w:rsid w:val="00A01A53"/>
    <w:rsid w:val="00A01DEA"/>
    <w:rsid w:val="00A11ADB"/>
    <w:rsid w:val="00A124A8"/>
    <w:rsid w:val="00A13BEB"/>
    <w:rsid w:val="00A216B6"/>
    <w:rsid w:val="00A304C7"/>
    <w:rsid w:val="00A379BF"/>
    <w:rsid w:val="00A4221B"/>
    <w:rsid w:val="00A43AD0"/>
    <w:rsid w:val="00A44FDC"/>
    <w:rsid w:val="00A45C83"/>
    <w:rsid w:val="00A47469"/>
    <w:rsid w:val="00A475E3"/>
    <w:rsid w:val="00A5178F"/>
    <w:rsid w:val="00A52FA8"/>
    <w:rsid w:val="00A5597D"/>
    <w:rsid w:val="00A60B88"/>
    <w:rsid w:val="00A67E83"/>
    <w:rsid w:val="00A71B51"/>
    <w:rsid w:val="00A73A59"/>
    <w:rsid w:val="00A809E2"/>
    <w:rsid w:val="00A83B8D"/>
    <w:rsid w:val="00A85265"/>
    <w:rsid w:val="00A8646F"/>
    <w:rsid w:val="00A90595"/>
    <w:rsid w:val="00A9093D"/>
    <w:rsid w:val="00A93287"/>
    <w:rsid w:val="00AA07F9"/>
    <w:rsid w:val="00AA3E9D"/>
    <w:rsid w:val="00AB296F"/>
    <w:rsid w:val="00AC016C"/>
    <w:rsid w:val="00AC65D1"/>
    <w:rsid w:val="00AD6AEF"/>
    <w:rsid w:val="00AE4A26"/>
    <w:rsid w:val="00AE6642"/>
    <w:rsid w:val="00AE7824"/>
    <w:rsid w:val="00AE7E86"/>
    <w:rsid w:val="00AF4417"/>
    <w:rsid w:val="00AF6D06"/>
    <w:rsid w:val="00AF7F07"/>
    <w:rsid w:val="00B010A0"/>
    <w:rsid w:val="00B01C22"/>
    <w:rsid w:val="00B01F1A"/>
    <w:rsid w:val="00B05B6A"/>
    <w:rsid w:val="00B07C57"/>
    <w:rsid w:val="00B11727"/>
    <w:rsid w:val="00B14A02"/>
    <w:rsid w:val="00B14F62"/>
    <w:rsid w:val="00B21DE5"/>
    <w:rsid w:val="00B2434F"/>
    <w:rsid w:val="00B2583B"/>
    <w:rsid w:val="00B31664"/>
    <w:rsid w:val="00B339FC"/>
    <w:rsid w:val="00B3482E"/>
    <w:rsid w:val="00B369AB"/>
    <w:rsid w:val="00B40DC5"/>
    <w:rsid w:val="00B40F3A"/>
    <w:rsid w:val="00B415E6"/>
    <w:rsid w:val="00B51316"/>
    <w:rsid w:val="00B51321"/>
    <w:rsid w:val="00B51584"/>
    <w:rsid w:val="00B536AE"/>
    <w:rsid w:val="00B571BC"/>
    <w:rsid w:val="00B6039F"/>
    <w:rsid w:val="00B66F1E"/>
    <w:rsid w:val="00B83DBD"/>
    <w:rsid w:val="00B8478B"/>
    <w:rsid w:val="00B96BE4"/>
    <w:rsid w:val="00BA172E"/>
    <w:rsid w:val="00BA4C87"/>
    <w:rsid w:val="00BB0103"/>
    <w:rsid w:val="00BB0E95"/>
    <w:rsid w:val="00BB1BF8"/>
    <w:rsid w:val="00BB43FF"/>
    <w:rsid w:val="00BB4595"/>
    <w:rsid w:val="00BC08A8"/>
    <w:rsid w:val="00BC24BE"/>
    <w:rsid w:val="00BC52BC"/>
    <w:rsid w:val="00BD60BD"/>
    <w:rsid w:val="00BD68EB"/>
    <w:rsid w:val="00BD6D6C"/>
    <w:rsid w:val="00BE07C7"/>
    <w:rsid w:val="00BE1088"/>
    <w:rsid w:val="00BE5E48"/>
    <w:rsid w:val="00BF0D22"/>
    <w:rsid w:val="00BF1FFE"/>
    <w:rsid w:val="00BF6FC6"/>
    <w:rsid w:val="00C05ECA"/>
    <w:rsid w:val="00C066A3"/>
    <w:rsid w:val="00C14E26"/>
    <w:rsid w:val="00C236F4"/>
    <w:rsid w:val="00C240BD"/>
    <w:rsid w:val="00C26520"/>
    <w:rsid w:val="00C334CF"/>
    <w:rsid w:val="00C368DB"/>
    <w:rsid w:val="00C4749B"/>
    <w:rsid w:val="00C50EA6"/>
    <w:rsid w:val="00C52AEF"/>
    <w:rsid w:val="00C6096B"/>
    <w:rsid w:val="00C6183A"/>
    <w:rsid w:val="00C70765"/>
    <w:rsid w:val="00C70919"/>
    <w:rsid w:val="00C77CD5"/>
    <w:rsid w:val="00C807FB"/>
    <w:rsid w:val="00C814CE"/>
    <w:rsid w:val="00C83F65"/>
    <w:rsid w:val="00C86C0A"/>
    <w:rsid w:val="00C92E4D"/>
    <w:rsid w:val="00C950FA"/>
    <w:rsid w:val="00C96AE7"/>
    <w:rsid w:val="00CA01E6"/>
    <w:rsid w:val="00CA15B5"/>
    <w:rsid w:val="00CA317A"/>
    <w:rsid w:val="00CA526C"/>
    <w:rsid w:val="00CA7DDF"/>
    <w:rsid w:val="00CB0450"/>
    <w:rsid w:val="00CB4F08"/>
    <w:rsid w:val="00CC29B2"/>
    <w:rsid w:val="00CC5173"/>
    <w:rsid w:val="00CD17F5"/>
    <w:rsid w:val="00CD4FA5"/>
    <w:rsid w:val="00CD57D2"/>
    <w:rsid w:val="00CE2EE8"/>
    <w:rsid w:val="00CE4B74"/>
    <w:rsid w:val="00CF4EA8"/>
    <w:rsid w:val="00D01282"/>
    <w:rsid w:val="00D04A94"/>
    <w:rsid w:val="00D0574A"/>
    <w:rsid w:val="00D10A47"/>
    <w:rsid w:val="00D13C33"/>
    <w:rsid w:val="00D14727"/>
    <w:rsid w:val="00D15BF9"/>
    <w:rsid w:val="00D21648"/>
    <w:rsid w:val="00D4491E"/>
    <w:rsid w:val="00D658E3"/>
    <w:rsid w:val="00D67216"/>
    <w:rsid w:val="00D7063D"/>
    <w:rsid w:val="00D7482B"/>
    <w:rsid w:val="00D74B5B"/>
    <w:rsid w:val="00D771D6"/>
    <w:rsid w:val="00D83E4C"/>
    <w:rsid w:val="00D8754E"/>
    <w:rsid w:val="00D94B38"/>
    <w:rsid w:val="00D950C7"/>
    <w:rsid w:val="00D973BE"/>
    <w:rsid w:val="00DA251A"/>
    <w:rsid w:val="00DA33B2"/>
    <w:rsid w:val="00DA36DE"/>
    <w:rsid w:val="00DB0772"/>
    <w:rsid w:val="00DB234E"/>
    <w:rsid w:val="00DB40EB"/>
    <w:rsid w:val="00DB5A81"/>
    <w:rsid w:val="00DC0154"/>
    <w:rsid w:val="00DC0B19"/>
    <w:rsid w:val="00DC171F"/>
    <w:rsid w:val="00DC1B32"/>
    <w:rsid w:val="00DC428A"/>
    <w:rsid w:val="00DC52AE"/>
    <w:rsid w:val="00DD2F8A"/>
    <w:rsid w:val="00DD5242"/>
    <w:rsid w:val="00DD7101"/>
    <w:rsid w:val="00DD766B"/>
    <w:rsid w:val="00DD7EDA"/>
    <w:rsid w:val="00DF1C53"/>
    <w:rsid w:val="00DF6775"/>
    <w:rsid w:val="00E01E14"/>
    <w:rsid w:val="00E12FCD"/>
    <w:rsid w:val="00E16E7F"/>
    <w:rsid w:val="00E17AE4"/>
    <w:rsid w:val="00E23451"/>
    <w:rsid w:val="00E26EF5"/>
    <w:rsid w:val="00E32D8E"/>
    <w:rsid w:val="00E36430"/>
    <w:rsid w:val="00E370DE"/>
    <w:rsid w:val="00E45B69"/>
    <w:rsid w:val="00E541B3"/>
    <w:rsid w:val="00E57718"/>
    <w:rsid w:val="00E66F2C"/>
    <w:rsid w:val="00E72FEC"/>
    <w:rsid w:val="00E97B07"/>
    <w:rsid w:val="00EA48AE"/>
    <w:rsid w:val="00EC01A7"/>
    <w:rsid w:val="00EC3AA5"/>
    <w:rsid w:val="00EC3D3E"/>
    <w:rsid w:val="00EC433F"/>
    <w:rsid w:val="00ED7B91"/>
    <w:rsid w:val="00EE0715"/>
    <w:rsid w:val="00EE165E"/>
    <w:rsid w:val="00EE369B"/>
    <w:rsid w:val="00EE4219"/>
    <w:rsid w:val="00EF20FB"/>
    <w:rsid w:val="00EF36F4"/>
    <w:rsid w:val="00EF393C"/>
    <w:rsid w:val="00F00048"/>
    <w:rsid w:val="00F107FF"/>
    <w:rsid w:val="00F10DE7"/>
    <w:rsid w:val="00F1473E"/>
    <w:rsid w:val="00F216FB"/>
    <w:rsid w:val="00F227B6"/>
    <w:rsid w:val="00F240EE"/>
    <w:rsid w:val="00F41F58"/>
    <w:rsid w:val="00F4380D"/>
    <w:rsid w:val="00F44932"/>
    <w:rsid w:val="00F4551B"/>
    <w:rsid w:val="00F6228E"/>
    <w:rsid w:val="00F725A8"/>
    <w:rsid w:val="00F76F7F"/>
    <w:rsid w:val="00F77506"/>
    <w:rsid w:val="00F80F77"/>
    <w:rsid w:val="00F81CD0"/>
    <w:rsid w:val="00F85A97"/>
    <w:rsid w:val="00F8750B"/>
    <w:rsid w:val="00FA2317"/>
    <w:rsid w:val="00FA4086"/>
    <w:rsid w:val="00FB0071"/>
    <w:rsid w:val="00FB02B7"/>
    <w:rsid w:val="00FB2C7D"/>
    <w:rsid w:val="00FB2F03"/>
    <w:rsid w:val="00FB4259"/>
    <w:rsid w:val="00FB4C33"/>
    <w:rsid w:val="00FB7384"/>
    <w:rsid w:val="00FB7EBA"/>
    <w:rsid w:val="00FC0A83"/>
    <w:rsid w:val="00FC1867"/>
    <w:rsid w:val="00FC49B3"/>
    <w:rsid w:val="00FD1833"/>
    <w:rsid w:val="00FD23B3"/>
    <w:rsid w:val="00FD27D5"/>
    <w:rsid w:val="00FD4F77"/>
    <w:rsid w:val="00FD5CD6"/>
    <w:rsid w:val="00FE09E2"/>
    <w:rsid w:val="00FE11CC"/>
    <w:rsid w:val="00FE5DCC"/>
    <w:rsid w:val="00FE7052"/>
    <w:rsid w:val="00FF1567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23B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cs="Arial"/>
      <w:b/>
      <w:bCs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cs="Arial"/>
      <w:b/>
      <w:bCs/>
      <w:szCs w:val="32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solistparagraph0">
    <w:name w:val="msolistparagraph"/>
    <w:basedOn w:val="Standard"/>
    <w:pPr>
      <w:ind w:left="720"/>
    </w:pPr>
    <w:rPr>
      <w:rFonts w:ascii="Times New Roman" w:eastAsia="Arial Unicode MS" w:hAnsi="Times New Roman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color w:val="FF0000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</w:pPr>
    <w:rPr>
      <w:rFonts w:cs="Arial"/>
      <w:color w:val="99CC00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cs="Arial"/>
      <w:color w:val="000000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styleId="Hyperlink">
    <w:name w:val="Hyperlink"/>
    <w:uiPriority w:val="99"/>
    <w:unhideWhenUsed/>
    <w:rsid w:val="001D574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8E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258E1"/>
    <w:rPr>
      <w:rFonts w:ascii="Tahoma" w:hAnsi="Tahoma" w:cs="Tahoma"/>
      <w:sz w:val="16"/>
      <w:szCs w:val="16"/>
    </w:rPr>
  </w:style>
  <w:style w:type="character" w:customStyle="1" w:styleId="style41">
    <w:name w:val="style41"/>
    <w:rsid w:val="00A379BF"/>
    <w:rPr>
      <w:rFonts w:ascii="Arial" w:hAnsi="Arial" w:cs="Arial" w:hint="default"/>
      <w:color w:val="666666"/>
      <w:sz w:val="21"/>
      <w:szCs w:val="21"/>
    </w:rPr>
  </w:style>
  <w:style w:type="paragraph" w:customStyle="1" w:styleId="Default">
    <w:name w:val="Default"/>
    <w:rsid w:val="00052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mmary3">
    <w:name w:val="summary3"/>
    <w:basedOn w:val="Standard"/>
    <w:rsid w:val="007D2E32"/>
    <w:pPr>
      <w:spacing w:before="450" w:after="100" w:afterAutospacing="1" w:line="330" w:lineRule="atLeast"/>
    </w:pPr>
    <w:rPr>
      <w:rFonts w:ascii="LGSmHaSB" w:hAnsi="LGSmHaSB"/>
      <w:color w:val="333333"/>
      <w:sz w:val="23"/>
      <w:szCs w:val="23"/>
      <w:lang w:val="en-US" w:eastAsia="en-US"/>
    </w:rPr>
  </w:style>
  <w:style w:type="paragraph" w:styleId="Listenabsatz">
    <w:name w:val="List Paragraph"/>
    <w:basedOn w:val="Standard"/>
    <w:uiPriority w:val="34"/>
    <w:qFormat/>
    <w:rsid w:val="00C96A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675A4A"/>
    <w:rPr>
      <w:color w:val="800080"/>
      <w:u w:val="single"/>
    </w:rPr>
  </w:style>
  <w:style w:type="paragraph" w:customStyle="1" w:styleId="AbsatzohneEinrcken">
    <w:name w:val="Absatz ohne Einrücken"/>
    <w:rsid w:val="008F7BEF"/>
    <w:pPr>
      <w:spacing w:before="360" w:line="360" w:lineRule="exact"/>
    </w:pPr>
    <w:rPr>
      <w:rFonts w:ascii="Courier" w:hAnsi="Courier"/>
      <w:sz w:val="24"/>
    </w:rPr>
  </w:style>
  <w:style w:type="paragraph" w:customStyle="1" w:styleId="Download-Hinweis">
    <w:name w:val="Download-Hinweis"/>
    <w:basedOn w:val="Standard"/>
    <w:rsid w:val="008F7BEF"/>
    <w:pPr>
      <w:shd w:val="clear" w:color="auto" w:fill="F3F3F3"/>
      <w:spacing w:before="360"/>
      <w:ind w:left="284" w:right="-142" w:hanging="284"/>
      <w:jc w:val="center"/>
    </w:pPr>
    <w:rPr>
      <w:i/>
      <w:color w:val="000000"/>
      <w:szCs w:val="20"/>
    </w:rPr>
  </w:style>
  <w:style w:type="paragraph" w:customStyle="1" w:styleId="Normal">
    <w:name w:val="[Normal]"/>
    <w:rsid w:val="002F241D"/>
    <w:pPr>
      <w:autoSpaceDE w:val="0"/>
      <w:autoSpaceDN w:val="0"/>
      <w:adjustRightInd w:val="0"/>
    </w:pPr>
    <w:rPr>
      <w:rFonts w:ascii="Arial" w:eastAsia="Arial" w:hAnsi="Arial" w:cs="Arial"/>
      <w:lang w:eastAsia="en-US"/>
    </w:rPr>
  </w:style>
  <w:style w:type="character" w:customStyle="1" w:styleId="KopfzeileZchn">
    <w:name w:val="Kopfzeile Zchn"/>
    <w:link w:val="Kopfzeile"/>
    <w:semiHidden/>
    <w:rsid w:val="00F41F58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A2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cs="Arial"/>
      <w:b/>
      <w:bCs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cs="Arial"/>
      <w:b/>
      <w:bCs/>
      <w:szCs w:val="32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solistparagraph0">
    <w:name w:val="msolistparagraph"/>
    <w:basedOn w:val="Standard"/>
    <w:pPr>
      <w:ind w:left="720"/>
    </w:pPr>
    <w:rPr>
      <w:rFonts w:ascii="Times New Roman" w:eastAsia="Arial Unicode MS" w:hAnsi="Times New Roman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color w:val="FF0000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</w:pPr>
    <w:rPr>
      <w:rFonts w:cs="Arial"/>
      <w:color w:val="99CC00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cs="Arial"/>
      <w:color w:val="000000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styleId="Hyperlink">
    <w:name w:val="Hyperlink"/>
    <w:uiPriority w:val="99"/>
    <w:unhideWhenUsed/>
    <w:rsid w:val="001D574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8E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258E1"/>
    <w:rPr>
      <w:rFonts w:ascii="Tahoma" w:hAnsi="Tahoma" w:cs="Tahoma"/>
      <w:sz w:val="16"/>
      <w:szCs w:val="16"/>
    </w:rPr>
  </w:style>
  <w:style w:type="character" w:customStyle="1" w:styleId="style41">
    <w:name w:val="style41"/>
    <w:rsid w:val="00A379BF"/>
    <w:rPr>
      <w:rFonts w:ascii="Arial" w:hAnsi="Arial" w:cs="Arial" w:hint="default"/>
      <w:color w:val="666666"/>
      <w:sz w:val="21"/>
      <w:szCs w:val="21"/>
    </w:rPr>
  </w:style>
  <w:style w:type="paragraph" w:customStyle="1" w:styleId="Default">
    <w:name w:val="Default"/>
    <w:rsid w:val="00052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mmary3">
    <w:name w:val="summary3"/>
    <w:basedOn w:val="Standard"/>
    <w:rsid w:val="007D2E32"/>
    <w:pPr>
      <w:spacing w:before="450" w:after="100" w:afterAutospacing="1" w:line="330" w:lineRule="atLeast"/>
    </w:pPr>
    <w:rPr>
      <w:rFonts w:ascii="LGSmHaSB" w:hAnsi="LGSmHaSB"/>
      <w:color w:val="333333"/>
      <w:sz w:val="23"/>
      <w:szCs w:val="23"/>
      <w:lang w:val="en-US" w:eastAsia="en-US"/>
    </w:rPr>
  </w:style>
  <w:style w:type="paragraph" w:styleId="Listenabsatz">
    <w:name w:val="List Paragraph"/>
    <w:basedOn w:val="Standard"/>
    <w:uiPriority w:val="34"/>
    <w:qFormat/>
    <w:rsid w:val="00C96A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675A4A"/>
    <w:rPr>
      <w:color w:val="800080"/>
      <w:u w:val="single"/>
    </w:rPr>
  </w:style>
  <w:style w:type="paragraph" w:customStyle="1" w:styleId="AbsatzohneEinrcken">
    <w:name w:val="Absatz ohne Einrücken"/>
    <w:rsid w:val="008F7BEF"/>
    <w:pPr>
      <w:spacing w:before="360" w:line="360" w:lineRule="exact"/>
    </w:pPr>
    <w:rPr>
      <w:rFonts w:ascii="Courier" w:hAnsi="Courier"/>
      <w:sz w:val="24"/>
    </w:rPr>
  </w:style>
  <w:style w:type="paragraph" w:customStyle="1" w:styleId="Download-Hinweis">
    <w:name w:val="Download-Hinweis"/>
    <w:basedOn w:val="Standard"/>
    <w:rsid w:val="008F7BEF"/>
    <w:pPr>
      <w:shd w:val="clear" w:color="auto" w:fill="F3F3F3"/>
      <w:spacing w:before="360"/>
      <w:ind w:left="284" w:right="-142" w:hanging="284"/>
      <w:jc w:val="center"/>
    </w:pPr>
    <w:rPr>
      <w:i/>
      <w:color w:val="000000"/>
      <w:szCs w:val="20"/>
    </w:rPr>
  </w:style>
  <w:style w:type="paragraph" w:customStyle="1" w:styleId="Normal">
    <w:name w:val="[Normal]"/>
    <w:rsid w:val="002F241D"/>
    <w:pPr>
      <w:autoSpaceDE w:val="0"/>
      <w:autoSpaceDN w:val="0"/>
      <w:adjustRightInd w:val="0"/>
    </w:pPr>
    <w:rPr>
      <w:rFonts w:ascii="Arial" w:eastAsia="Arial" w:hAnsi="Arial" w:cs="Arial"/>
      <w:lang w:eastAsia="en-US"/>
    </w:rPr>
  </w:style>
  <w:style w:type="character" w:customStyle="1" w:styleId="KopfzeileZchn">
    <w:name w:val="Kopfzeile Zchn"/>
    <w:link w:val="Kopfzeile"/>
    <w:semiHidden/>
    <w:rsid w:val="00F41F58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A2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55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763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64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konsens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ael.fischer@resinex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emixgroup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5049-D9AC-4C3C-ADCF-7D8EC725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2212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2482</CharactersWithSpaces>
  <SharedDoc>false</SharedDoc>
  <HLinks>
    <vt:vector size="12" baseType="variant"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1900648</vt:i4>
      </vt:variant>
      <vt:variant>
        <vt:i4>0</vt:i4>
      </vt:variant>
      <vt:variant>
        <vt:i4>0</vt:i4>
      </vt:variant>
      <vt:variant>
        <vt:i4>5</vt:i4>
      </vt:variant>
      <vt:variant>
        <vt:lpwstr>mailto:michael.fischer@resinex.de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2020-02-13T14:05:00Z</dcterms:created>
  <dcterms:modified xsi:type="dcterms:W3CDTF">2020-02-13T14:05:00Z</dcterms:modified>
</cp:coreProperties>
</file>