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4E4C72" w:rsidRDefault="00DF53AE" w:rsidP="004E4C72">
      <w:pPr>
        <w:suppressAutoHyphens/>
        <w:spacing w:before="240"/>
        <w:rPr>
          <w:b/>
          <w:sz w:val="28"/>
          <w:szCs w:val="28"/>
          <w:u w:val="single"/>
          <w:lang w:val="es-ES"/>
        </w:rPr>
      </w:pPr>
      <w:r w:rsidRPr="004E4C72">
        <w:rPr>
          <w:rFonts w:ascii="Arial" w:hAnsi="Arial" w:cs="Arial"/>
          <w:b/>
          <w:caps/>
          <w:sz w:val="36"/>
          <w:szCs w:val="36"/>
          <w:lang w:val="es-ES"/>
        </w:rPr>
        <w:t>NOTA DE PRENSA</w:t>
      </w:r>
    </w:p>
    <w:p w:rsidR="00012458" w:rsidRPr="004E4C72" w:rsidRDefault="00012458" w:rsidP="004E4C72">
      <w:pPr>
        <w:suppressAutoHyphens/>
        <w:rPr>
          <w:b/>
          <w:sz w:val="32"/>
          <w:lang w:val="es-ES"/>
        </w:rPr>
      </w:pPr>
    </w:p>
    <w:p w:rsidR="00562B49" w:rsidRPr="00BE2E30" w:rsidRDefault="00BE2E30" w:rsidP="004E4C72">
      <w:pPr>
        <w:suppressAutoHyphens/>
        <w:rPr>
          <w:b/>
          <w:sz w:val="32"/>
          <w:lang w:val="es-ES_tradnl"/>
        </w:rPr>
      </w:pPr>
      <w:r w:rsidRPr="00BE2E30">
        <w:rPr>
          <w:b/>
          <w:sz w:val="32"/>
          <w:lang w:val="es-ES_tradnl"/>
        </w:rPr>
        <w:t>Nuevo masterbatch multiplica el efecto absorbente de UV de láminas para invernaderos</w:t>
      </w:r>
    </w:p>
    <w:p w:rsidR="0066288D" w:rsidRPr="00BE2E30" w:rsidRDefault="0066288D" w:rsidP="004E4C72">
      <w:pPr>
        <w:suppressAutoHyphens/>
        <w:rPr>
          <w:lang w:val="es-ES_tradnl"/>
        </w:rPr>
      </w:pPr>
    </w:p>
    <w:p w:rsidR="0066288D" w:rsidRPr="00480E65" w:rsidRDefault="00480E65" w:rsidP="004E4C72">
      <w:pPr>
        <w:suppressAutoHyphens/>
        <w:rPr>
          <w:noProof/>
          <w:lang w:val="es-ES_tradnl" w:eastAsia="de-DE"/>
        </w:rPr>
      </w:pPr>
      <w:r>
        <w:rPr>
          <w:noProof/>
          <w:lang w:val="de-DE" w:eastAsia="de-DE"/>
        </w:rPr>
        <w:drawing>
          <wp:inline distT="0" distB="0" distL="0" distR="0">
            <wp:extent cx="5278120" cy="35744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bsorber Grafik mit rose S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3574415"/>
                    </a:xfrm>
                    <a:prstGeom prst="rect">
                      <a:avLst/>
                    </a:prstGeom>
                  </pic:spPr>
                </pic:pic>
              </a:graphicData>
            </a:graphic>
          </wp:inline>
        </w:drawing>
      </w:r>
    </w:p>
    <w:p w:rsidR="00225C54" w:rsidRPr="00480E65" w:rsidRDefault="00225C54" w:rsidP="004E4C72">
      <w:pPr>
        <w:suppressAutoHyphens/>
        <w:rPr>
          <w:noProof/>
          <w:sz w:val="20"/>
          <w:szCs w:val="20"/>
          <w:lang w:val="es-ES_tradnl" w:eastAsia="de-DE"/>
        </w:rPr>
      </w:pPr>
    </w:p>
    <w:p w:rsidR="002623AF" w:rsidRPr="006D45F9" w:rsidRDefault="006D45F9" w:rsidP="004E4C72">
      <w:pPr>
        <w:suppressAutoHyphens/>
        <w:rPr>
          <w:i/>
          <w:iCs/>
          <w:lang w:val="es-ES_tradnl"/>
        </w:rPr>
      </w:pPr>
      <w:r w:rsidRPr="006D45F9">
        <w:rPr>
          <w:i/>
          <w:lang w:val="es-ES_tradnl"/>
        </w:rPr>
        <w:t>Incluso cantidades pequeñas del nuevo masterbatch UV4120PE de Tosaf son suficientes para multiplicar la vida útil de láminas para invernaderos absorbentes de UV. Los ensayos de envejecimiento acelerado con láminas que contenían un absorbente orgánico, así como un Ni-Quencher (gráfico) o un estabilizador de luz NOR-HALS, dieron resultados significativos.</w:t>
      </w:r>
    </w:p>
    <w:p w:rsidR="0066288D" w:rsidRPr="006D45F9" w:rsidRDefault="0066288D" w:rsidP="004E4C72">
      <w:pPr>
        <w:suppressAutoHyphens/>
        <w:rPr>
          <w:i/>
          <w:iCs/>
          <w:lang w:val="es-ES_tradnl"/>
        </w:rPr>
      </w:pPr>
    </w:p>
    <w:p w:rsidR="0066288D" w:rsidRPr="00B8364C" w:rsidRDefault="006D45F9" w:rsidP="004E4C72">
      <w:pPr>
        <w:suppressAutoHyphens/>
        <w:spacing w:line="360" w:lineRule="exact"/>
        <w:ind w:right="90"/>
        <w:rPr>
          <w:lang w:val="es-ES_tradnl"/>
        </w:rPr>
      </w:pPr>
      <w:r w:rsidRPr="006D45F9">
        <w:rPr>
          <w:lang w:val="es-ES_tradnl"/>
        </w:rPr>
        <w:t>Afula/Israel, febrero de 2015. UV4120PE es un masterbatch de nuevo diseño de Tosaf (</w:t>
      </w:r>
      <w:hyperlink r:id="rId10">
        <w:r w:rsidRPr="006D45F9">
          <w:rPr>
            <w:rStyle w:val="Hyperlink"/>
            <w:lang w:val="es-ES_tradnl"/>
          </w:rPr>
          <w:t>www.tosaf.com</w:t>
        </w:r>
      </w:hyperlink>
      <w:r w:rsidRPr="006D45F9">
        <w:rPr>
          <w:lang w:val="es-ES_tradnl"/>
        </w:rPr>
        <w:t>), el cual puede multiplicar la vida útil de láminas absorbentes de UV para invernaderos. Éste es el resultado de extensos ensayos de envejecimiento a lo largo de 9000 horas. Durante este periodo, el efecto de filtrado de UV de láminas convencionales equipadas con un absorbente de UV orgánico y un quench</w:t>
      </w:r>
      <w:r w:rsidR="00A70363">
        <w:rPr>
          <w:lang w:val="es-ES_tradnl"/>
        </w:rPr>
        <w:t xml:space="preserve">er de </w:t>
      </w:r>
      <w:r w:rsidR="00A70363" w:rsidRPr="00B8364C">
        <w:rPr>
          <w:lang w:val="es-ES_tradnl"/>
        </w:rPr>
        <w:t xml:space="preserve">níquel (Ni-Q) se redujo </w:t>
      </w:r>
      <w:r w:rsidRPr="00B8364C">
        <w:rPr>
          <w:lang w:val="es-ES_tradnl"/>
        </w:rPr>
        <w:t xml:space="preserve">alrededor del 30 % del valor inicial porque las moléculas </w:t>
      </w:r>
      <w:r w:rsidR="00A70363" w:rsidRPr="00B8364C">
        <w:rPr>
          <w:lang w:val="es-ES_tradnl"/>
        </w:rPr>
        <w:t xml:space="preserve">se </w:t>
      </w:r>
      <w:r w:rsidRPr="00B8364C">
        <w:rPr>
          <w:lang w:val="es-ES_tradnl"/>
        </w:rPr>
        <w:t xml:space="preserve">degradaban rápidamente. </w:t>
      </w:r>
      <w:r w:rsidR="00A70363" w:rsidRPr="00B8364C">
        <w:rPr>
          <w:lang w:val="es-ES_tradnl"/>
        </w:rPr>
        <w:t>Con tan sólo</w:t>
      </w:r>
      <w:r w:rsidRPr="00B8364C">
        <w:rPr>
          <w:lang w:val="es-ES_tradnl"/>
        </w:rPr>
        <w:t xml:space="preserve"> </w:t>
      </w:r>
      <w:r w:rsidR="00A70363" w:rsidRPr="00B8364C">
        <w:rPr>
          <w:lang w:val="es-ES_tradnl"/>
        </w:rPr>
        <w:t xml:space="preserve">la adición de </w:t>
      </w:r>
      <w:r w:rsidRPr="00B8364C">
        <w:rPr>
          <w:lang w:val="es-ES_tradnl"/>
        </w:rPr>
        <w:t xml:space="preserve">un 0,7 % de UV4120PE de </w:t>
      </w:r>
      <w:r w:rsidRPr="006D45F9">
        <w:rPr>
          <w:lang w:val="es-ES_tradnl"/>
        </w:rPr>
        <w:t xml:space="preserve">Tosaf, se mantuvo el 80 % de la absorción de UV original. Con una proporción de masterbatch del 2 %, este valor aumentó a un excelente 90 % al final del ensayo. Resultados muy similares mostró el ensayo en láminas que contenían un absorbente de UV orgánico y un NOR-HALS (estabilizador de luz de aminoxiaminas </w:t>
      </w:r>
      <w:r w:rsidRPr="006D45F9">
        <w:rPr>
          <w:lang w:val="es-ES_tradnl"/>
        </w:rPr>
        <w:lastRenderedPageBreak/>
        <w:t>impedidas). En consecuencia, según la región, la vida útil total de láminas para</w:t>
      </w:r>
      <w:r w:rsidR="00A70363">
        <w:rPr>
          <w:lang w:val="es-ES_tradnl"/>
        </w:rPr>
        <w:t xml:space="preserve"> </w:t>
      </w:r>
      <w:r w:rsidR="00A70363" w:rsidRPr="00B8364C">
        <w:rPr>
          <w:lang w:val="es-ES_tradnl"/>
        </w:rPr>
        <w:t>invernaderos puede aumentar del habitual a</w:t>
      </w:r>
      <w:r w:rsidRPr="00B8364C">
        <w:rPr>
          <w:lang w:val="es-ES_tradnl"/>
        </w:rPr>
        <w:t xml:space="preserve">ño </w:t>
      </w:r>
      <w:r w:rsidR="00A70363" w:rsidRPr="00B8364C">
        <w:rPr>
          <w:lang w:val="es-ES_tradnl"/>
        </w:rPr>
        <w:t>hasta</w:t>
      </w:r>
      <w:r w:rsidRPr="00B8364C">
        <w:rPr>
          <w:lang w:val="es-ES_tradnl"/>
        </w:rPr>
        <w:t xml:space="preserve"> más de tres años.</w:t>
      </w:r>
    </w:p>
    <w:p w:rsidR="0066288D" w:rsidRPr="006D45F9" w:rsidRDefault="0066288D" w:rsidP="004E4C72">
      <w:pPr>
        <w:suppressAutoHyphens/>
        <w:spacing w:line="360" w:lineRule="exact"/>
        <w:rPr>
          <w:lang w:val="es-ES_tradnl"/>
        </w:rPr>
      </w:pPr>
    </w:p>
    <w:p w:rsidR="00DA328A" w:rsidRPr="00B8364C" w:rsidRDefault="006D45F9" w:rsidP="004E4C72">
      <w:pPr>
        <w:suppressAutoHyphens/>
        <w:spacing w:line="360" w:lineRule="exact"/>
        <w:rPr>
          <w:lang w:val="es-ES_tradnl"/>
        </w:rPr>
      </w:pPr>
      <w:r w:rsidRPr="006D45F9">
        <w:rPr>
          <w:lang w:val="es-ES_tradnl"/>
        </w:rPr>
        <w:t>Los usuarios de invernaderos que emplean una lámina absorbente de UV fabricada con el nuevo masterbatch UV4120PE de Tosaf obtienen múltiples ventajas, las cuales a fin de cuentas contribuyen todas al perfeccionamiento de la calidad del producto. Además del importante efecto de protección contra la intemperie, también se mantiene durante el periodo de aplicación completo en su mayor parte el deseado efecto antiviral relacionado con el alto efecto absorbente de UV. Este efecto se basa en el hecho de que muchos insectos, los cuales son potenciales portadores de virus, tales como trips y moscas blancas, requieren luz UV para orientarse. Por esta razón, no van a penetrar profundamente en zonas provistas de un te</w:t>
      </w:r>
      <w:r w:rsidR="00A70363">
        <w:rPr>
          <w:lang w:val="es-ES_tradnl"/>
        </w:rPr>
        <w:t xml:space="preserve">cho de lámina absorbente de UV </w:t>
      </w:r>
      <w:r w:rsidRPr="006D45F9">
        <w:rPr>
          <w:lang w:val="es-ES_tradnl"/>
        </w:rPr>
        <w:t>(Por lo mismo, tales láminas no son apropiadas para el cultivo de plantas que necesitan abejas para la polinización ya que las mi</w:t>
      </w:r>
      <w:r w:rsidR="00A70363">
        <w:rPr>
          <w:lang w:val="es-ES_tradnl"/>
        </w:rPr>
        <w:t>smas también dependen de luz UV</w:t>
      </w:r>
      <w:r w:rsidRPr="006D45F9">
        <w:rPr>
          <w:lang w:val="es-ES_tradnl"/>
        </w:rPr>
        <w:t>)</w:t>
      </w:r>
      <w:r w:rsidR="00A70363">
        <w:rPr>
          <w:lang w:val="es-ES_tradnl"/>
        </w:rPr>
        <w:t>.</w:t>
      </w:r>
      <w:r w:rsidRPr="006D45F9">
        <w:rPr>
          <w:lang w:val="es-ES_tradnl"/>
        </w:rPr>
        <w:t xml:space="preserve"> Una ventaja especial para cultivadores de rosas rojas es el hecho de que las láminas absorbentes de UV previenen de modo muy efectivo que l</w:t>
      </w:r>
      <w:r w:rsidR="00A70363">
        <w:rPr>
          <w:lang w:val="es-ES_tradnl"/>
        </w:rPr>
        <w:t xml:space="preserve">as puntas de los </w:t>
      </w:r>
      <w:r w:rsidR="00A70363" w:rsidRPr="00B8364C">
        <w:rPr>
          <w:lang w:val="es-ES_tradnl"/>
        </w:rPr>
        <w:t>pétalos se tiña</w:t>
      </w:r>
      <w:r w:rsidRPr="00B8364C">
        <w:rPr>
          <w:lang w:val="es-ES_tradnl"/>
        </w:rPr>
        <w:t>n de negro.</w:t>
      </w:r>
    </w:p>
    <w:p w:rsidR="009E4815" w:rsidRPr="00B8364C" w:rsidRDefault="009E4815" w:rsidP="004E4C72">
      <w:pPr>
        <w:suppressAutoHyphens/>
        <w:rPr>
          <w:b/>
          <w:sz w:val="20"/>
          <w:szCs w:val="20"/>
          <w:lang w:val="es-ES_tradnl"/>
        </w:rPr>
      </w:pPr>
    </w:p>
    <w:p w:rsidR="00DF53AE" w:rsidRPr="00B8364C" w:rsidRDefault="006D45F9" w:rsidP="004E4C72">
      <w:pPr>
        <w:suppressAutoHyphens/>
        <w:rPr>
          <w:sz w:val="20"/>
          <w:szCs w:val="20"/>
          <w:lang w:val="es-ES_tradnl"/>
        </w:rPr>
      </w:pPr>
      <w:r w:rsidRPr="00B8364C">
        <w:rPr>
          <w:sz w:val="20"/>
          <w:lang w:val="es-ES_tradnl"/>
        </w:rPr>
        <w:t xml:space="preserve">El </w:t>
      </w:r>
      <w:r w:rsidRPr="00B8364C">
        <w:rPr>
          <w:b/>
          <w:sz w:val="20"/>
          <w:lang w:val="es-ES_tradnl"/>
        </w:rPr>
        <w:t>Grupo Tosaf</w:t>
      </w:r>
      <w:r w:rsidRPr="00B8364C">
        <w:rPr>
          <w:sz w:val="20"/>
          <w:lang w:val="es-ES_tradnl"/>
        </w:rPr>
        <w:t xml:space="preserve"> es una empresa de </w:t>
      </w:r>
      <w:r w:rsidR="00A70363" w:rsidRPr="00B8364C">
        <w:rPr>
          <w:sz w:val="20"/>
          <w:lang w:val="es-ES_tradnl"/>
        </w:rPr>
        <w:t>capital</w:t>
      </w:r>
      <w:r w:rsidRPr="00B8364C">
        <w:rPr>
          <w:sz w:val="20"/>
          <w:lang w:val="es-ES_tradnl"/>
        </w:rPr>
        <w:t xml:space="preserve"> compartido </w:t>
      </w:r>
      <w:r w:rsidR="00A70363" w:rsidRPr="00B8364C">
        <w:rPr>
          <w:sz w:val="20"/>
          <w:lang w:val="es-ES_tradnl"/>
        </w:rPr>
        <w:t>entre</w:t>
      </w:r>
      <w:r w:rsidRPr="00B8364C">
        <w:rPr>
          <w:sz w:val="20"/>
          <w:lang w:val="es-ES_tradnl"/>
        </w:rPr>
        <w:t xml:space="preserve"> la Megides Holding y del Grupo </w:t>
      </w:r>
      <w:proofErr w:type="spellStart"/>
      <w:r w:rsidRPr="00B8364C">
        <w:rPr>
          <w:sz w:val="20"/>
          <w:lang w:val="es-ES_tradnl"/>
        </w:rPr>
        <w:t>Ravago</w:t>
      </w:r>
      <w:proofErr w:type="spellEnd"/>
      <w:r w:rsidR="00A70363" w:rsidRPr="00B8364C">
        <w:rPr>
          <w:sz w:val="20"/>
          <w:lang w:val="es-ES_tradnl"/>
        </w:rPr>
        <w:t>,</w:t>
      </w:r>
      <w:r w:rsidRPr="00B8364C">
        <w:rPr>
          <w:sz w:val="20"/>
          <w:lang w:val="es-ES_tradnl"/>
        </w:rPr>
        <w:t xml:space="preserve"> fundada en 1985. El Grupo da empleo a un total de 800 personas en nueve emplazamientos de producción en Turquía, Alemania, Gran Bretaña, Países Bajos y Ucrania. La vasta gama de productos de Tosaf abarca compuestos con aditivos minerales para la industria de aparatos domésticos, la industria automovilística y otras industrias procesadoras de plásticos, aditivos como estabilizadores de UV y de luz, retardantes de llama y aditivos específicos </w:t>
      </w:r>
      <w:r w:rsidR="00A70363" w:rsidRPr="00B8364C">
        <w:rPr>
          <w:sz w:val="20"/>
          <w:lang w:val="es-ES_tradnl"/>
        </w:rPr>
        <w:t>para sectores</w:t>
      </w:r>
      <w:r w:rsidRPr="00B8364C">
        <w:rPr>
          <w:sz w:val="20"/>
          <w:lang w:val="es-ES_tradnl"/>
        </w:rPr>
        <w:t xml:space="preserve"> como BOPP, láminas agrícolas, de envasado e industriales, planchas de policarbonato, tubos, espumas y otros productos, así como masterbatches de colores para un amplio espectro de aplicaciones</w:t>
      </w:r>
      <w:r w:rsidR="00DF53AE" w:rsidRPr="00B8364C">
        <w:rPr>
          <w:sz w:val="20"/>
          <w:szCs w:val="20"/>
          <w:lang w:val="es-ES_tradnl"/>
        </w:rPr>
        <w:t>.</w:t>
      </w:r>
    </w:p>
    <w:p w:rsidR="009E4815" w:rsidRPr="00A53617" w:rsidRDefault="009E4815" w:rsidP="004E4C72">
      <w:pPr>
        <w:suppressAutoHyphens/>
        <w:ind w:right="-284"/>
        <w:rPr>
          <w:b/>
          <w:i/>
          <w:lang w:val="es-ES_tradnl"/>
        </w:rPr>
      </w:pPr>
    </w:p>
    <w:p w:rsidR="009E4815" w:rsidRPr="004E4C72" w:rsidRDefault="00DF53AE" w:rsidP="004E4C72">
      <w:pPr>
        <w:suppressAutoHyphens/>
        <w:ind w:right="-284"/>
        <w:rPr>
          <w:u w:val="single"/>
          <w:lang w:val="es-ES"/>
        </w:rPr>
      </w:pPr>
      <w:r w:rsidRPr="00A53617">
        <w:rPr>
          <w:b/>
          <w:i/>
          <w:lang w:val="es-ES_tradnl"/>
        </w:rPr>
        <w:t>Para más información sobre Tosaf, por favor, contacte con:</w:t>
      </w:r>
      <w:r w:rsidR="009E4815" w:rsidRPr="00A53617">
        <w:rPr>
          <w:lang w:val="es-ES_tradnl"/>
        </w:rPr>
        <w:br/>
      </w:r>
      <w:r w:rsidR="0024116B" w:rsidRPr="00A53617">
        <w:rPr>
          <w:lang w:val="es-ES_tradnl"/>
        </w:rPr>
        <w:t>M</w:t>
      </w:r>
      <w:r w:rsidR="009E4815" w:rsidRPr="00A53617">
        <w:rPr>
          <w:lang w:val="es-ES_tradnl"/>
        </w:rPr>
        <w:t>s. Michal Apfelbaum</w:t>
      </w:r>
      <w:r w:rsidR="009E4815" w:rsidRPr="00A53617">
        <w:rPr>
          <w:lang w:val="es-ES_tradnl"/>
        </w:rPr>
        <w:br/>
        <w:t>International Marketing</w:t>
      </w:r>
      <w:bookmarkStart w:id="0" w:name="_GoBack"/>
      <w:bookmarkEnd w:id="0"/>
      <w:r w:rsidR="009E4815" w:rsidRPr="00A53617">
        <w:rPr>
          <w:lang w:val="es-ES_tradnl"/>
        </w:rPr>
        <w:br/>
        <w:t>Tosaf Compounds Ltd.</w:t>
      </w:r>
      <w:r w:rsidR="009E4815" w:rsidRPr="00A53617">
        <w:rPr>
          <w:lang w:val="es-ES_tradnl"/>
        </w:rPr>
        <w:br/>
      </w:r>
      <w:r w:rsidR="009E4815" w:rsidRPr="004E4C72">
        <w:rPr>
          <w:lang w:val="es-ES"/>
        </w:rPr>
        <w:t xml:space="preserve">Phone: </w:t>
      </w:r>
      <w:r w:rsidR="0024116B" w:rsidRPr="004E4C72">
        <w:rPr>
          <w:lang w:val="es-ES"/>
        </w:rPr>
        <w:t>+972-9-8984606</w:t>
      </w:r>
      <w:r w:rsidR="00BC6E82" w:rsidRPr="004E4C72">
        <w:rPr>
          <w:lang w:val="es-ES"/>
        </w:rPr>
        <w:t xml:space="preserve">, </w:t>
      </w:r>
      <w:r w:rsidR="009E4815" w:rsidRPr="004E4C72">
        <w:rPr>
          <w:lang w:val="es-ES"/>
        </w:rPr>
        <w:t>Fax: +972-9-8789-723</w:t>
      </w:r>
      <w:r w:rsidR="009E4815" w:rsidRPr="004E4C72">
        <w:rPr>
          <w:lang w:val="es-ES"/>
        </w:rPr>
        <w:br/>
        <w:t>E-mail: michalap@tosaf.com</w:t>
      </w:r>
    </w:p>
    <w:p w:rsidR="009E4815" w:rsidRPr="004E4C72" w:rsidRDefault="009E4815" w:rsidP="004E4C72">
      <w:pPr>
        <w:pStyle w:val="AbsatzohneEinrcken"/>
        <w:suppressAutoHyphens/>
        <w:spacing w:before="0" w:line="240" w:lineRule="auto"/>
        <w:ind w:right="-285"/>
        <w:rPr>
          <w:rFonts w:ascii="Times New Roman" w:hAnsi="Times New Roman"/>
          <w:b/>
          <w:i/>
          <w:szCs w:val="24"/>
          <w:lang w:val="es-ES" w:eastAsia="en-US"/>
        </w:rPr>
      </w:pPr>
    </w:p>
    <w:p w:rsidR="009E4815" w:rsidRPr="00012458" w:rsidRDefault="00DF53AE" w:rsidP="004E4C72">
      <w:pPr>
        <w:pStyle w:val="AbsatzohneEinrcken"/>
        <w:suppressAutoHyphens/>
        <w:spacing w:before="0" w:line="240" w:lineRule="auto"/>
        <w:ind w:right="-285"/>
        <w:rPr>
          <w:rFonts w:ascii="Times New Roman" w:hAnsi="Times New Roman"/>
        </w:rPr>
      </w:pPr>
      <w:r w:rsidRPr="00A53617">
        <w:rPr>
          <w:rFonts w:ascii="Times New Roman" w:hAnsi="Times New Roman"/>
          <w:b/>
          <w:i/>
          <w:szCs w:val="24"/>
          <w:lang w:val="es-ES_tradnl" w:eastAsia="en-US"/>
        </w:rPr>
        <w:t>Contacto editorial – por favor, enviar copia de la publicación a</w:t>
      </w:r>
      <w:r w:rsidR="009E4815" w:rsidRPr="00A53617">
        <w:rPr>
          <w:rFonts w:ascii="Times New Roman" w:hAnsi="Times New Roman"/>
          <w:lang w:val="es-ES_tradnl"/>
        </w:rPr>
        <w:br/>
      </w:r>
      <w:r w:rsidR="009E4815" w:rsidRPr="00A53617">
        <w:rPr>
          <w:rFonts w:ascii="Times New Roman" w:hAnsi="Times New Roman"/>
          <w:smallCaps/>
          <w:lang w:val="es-ES_tradnl"/>
        </w:rPr>
        <w:t xml:space="preserve">KONSENS PR </w:t>
      </w:r>
      <w:r w:rsidR="009E4815" w:rsidRPr="00A53617">
        <w:rPr>
          <w:rFonts w:ascii="Times New Roman" w:hAnsi="Times New Roman"/>
          <w:lang w:val="es-ES_tradnl"/>
        </w:rPr>
        <w:t xml:space="preserve">GmbH &amp; Co. </w:t>
      </w:r>
      <w:r w:rsidR="009E4815" w:rsidRPr="00DA66BF">
        <w:rPr>
          <w:rFonts w:ascii="Times New Roman" w:hAnsi="Times New Roman"/>
        </w:rPr>
        <w:t>KG</w:t>
      </w:r>
      <w:r w:rsidR="009E4815" w:rsidRPr="00DA66BF">
        <w:rPr>
          <w:rFonts w:ascii="Times New Roman" w:hAnsi="Times New Roman"/>
        </w:rPr>
        <w:br/>
        <w:t>Dr. Jörg Wolters</w:t>
      </w:r>
      <w:r w:rsidR="009E4815" w:rsidRPr="00DA66BF">
        <w:rPr>
          <w:rFonts w:ascii="Times New Roman" w:hAnsi="Times New Roman"/>
        </w:rPr>
        <w:br/>
        <w:t xml:space="preserve">Hans-Kudlich-Str. </w:t>
      </w:r>
      <w:r w:rsidR="009E4815" w:rsidRPr="00012458">
        <w:rPr>
          <w:rFonts w:ascii="Times New Roman" w:hAnsi="Times New Roman"/>
        </w:rPr>
        <w:t xml:space="preserve">25, D-64823 Groß-Umstadt, </w:t>
      </w:r>
      <w:r w:rsidR="009E4815" w:rsidRPr="00012458">
        <w:rPr>
          <w:rFonts w:ascii="Times New Roman" w:hAnsi="Times New Roman"/>
        </w:rPr>
        <w:br/>
        <w:t>Phone: +49 (0) 60 78/93 63-13</w:t>
      </w:r>
      <w:r w:rsidR="00BC6E82">
        <w:rPr>
          <w:rFonts w:ascii="Times New Roman" w:hAnsi="Times New Roman"/>
        </w:rPr>
        <w:t xml:space="preserve">, </w:t>
      </w:r>
      <w:r w:rsidR="009E4815" w:rsidRPr="00012458">
        <w:rPr>
          <w:rFonts w:ascii="Times New Roman" w:hAnsi="Times New Roman"/>
        </w:rPr>
        <w:t>Fax: +49 (0) 60 78/93 63-20</w:t>
      </w:r>
      <w:r w:rsidR="009E4815" w:rsidRPr="00012458">
        <w:rPr>
          <w:rFonts w:ascii="Times New Roman" w:hAnsi="Times New Roman"/>
        </w:rPr>
        <w:br/>
        <w:t>E-mail: mail@konsens.de</w:t>
      </w:r>
    </w:p>
    <w:p w:rsidR="009E4815" w:rsidRPr="00012458" w:rsidRDefault="009E4815" w:rsidP="004E4C72">
      <w:pPr>
        <w:pStyle w:val="AbsatzohneEinrcken"/>
        <w:tabs>
          <w:tab w:val="num" w:pos="0"/>
        </w:tabs>
        <w:suppressAutoHyphens/>
        <w:spacing w:before="0" w:line="240" w:lineRule="auto"/>
        <w:ind w:right="-285"/>
        <w:rPr>
          <w:rFonts w:ascii="Times New Roman" w:hAnsi="Times New Roman"/>
        </w:rPr>
      </w:pPr>
    </w:p>
    <w:p w:rsidR="00DF53AE" w:rsidRPr="00A53617" w:rsidRDefault="00DF53AE" w:rsidP="004E4C72">
      <w:pPr>
        <w:pStyle w:val="Textkrper"/>
        <w:suppressAutoHyphens/>
        <w:spacing w:before="0"/>
        <w:ind w:right="-142"/>
        <w:jc w:val="center"/>
        <w:rPr>
          <w:rFonts w:ascii="Arial" w:hAnsi="Arial" w:cs="Arial"/>
          <w:sz w:val="24"/>
          <w:szCs w:val="24"/>
          <w:lang w:val="es-ES_tradnl"/>
        </w:rPr>
      </w:pPr>
      <w:r w:rsidRPr="00A53617">
        <w:rPr>
          <w:rFonts w:ascii="Arial" w:hAnsi="Arial" w:cs="Arial"/>
          <w:sz w:val="24"/>
          <w:szCs w:val="24"/>
          <w:lang w:val="es-ES_tradnl"/>
        </w:rPr>
        <w:t xml:space="preserve">Estimados editores, </w:t>
      </w:r>
    </w:p>
    <w:p w:rsidR="00DF53AE" w:rsidRPr="00A53617" w:rsidRDefault="00DF53AE" w:rsidP="004E4C72">
      <w:pPr>
        <w:pStyle w:val="Textkrper"/>
        <w:suppressAutoHyphens/>
        <w:spacing w:before="0"/>
        <w:ind w:right="-142"/>
        <w:jc w:val="center"/>
        <w:rPr>
          <w:rFonts w:ascii="Arial" w:hAnsi="Arial" w:cs="Arial"/>
          <w:sz w:val="24"/>
          <w:szCs w:val="24"/>
          <w:lang w:val="es-ES_tradnl"/>
        </w:rPr>
      </w:pPr>
      <w:r w:rsidRPr="00A53617">
        <w:rPr>
          <w:rFonts w:ascii="Arial" w:hAnsi="Arial" w:cs="Arial"/>
          <w:sz w:val="24"/>
          <w:szCs w:val="24"/>
          <w:lang w:val="es-ES_tradnl"/>
        </w:rPr>
        <w:t xml:space="preserve">Esta nota de prensa puede descargarse, como documento Word e imagen en: </w:t>
      </w:r>
    </w:p>
    <w:p w:rsidR="00DA328A" w:rsidRPr="00A53617" w:rsidRDefault="00DF53AE" w:rsidP="004E4C72">
      <w:pPr>
        <w:pStyle w:val="Textkrper"/>
        <w:suppressAutoHyphens/>
        <w:spacing w:before="0"/>
        <w:ind w:right="-142"/>
        <w:jc w:val="center"/>
        <w:rPr>
          <w:rFonts w:ascii="Arial" w:hAnsi="Arial" w:cs="Arial"/>
          <w:b/>
          <w:sz w:val="24"/>
          <w:szCs w:val="24"/>
          <w:lang w:val="es-ES_tradnl"/>
        </w:rPr>
      </w:pPr>
      <w:r w:rsidRPr="00A53617">
        <w:rPr>
          <w:rFonts w:ascii="Arial" w:hAnsi="Arial" w:cs="Arial"/>
          <w:b/>
          <w:sz w:val="24"/>
          <w:szCs w:val="24"/>
          <w:lang w:val="es-ES_tradnl"/>
        </w:rPr>
        <w:t>http://www.konsens.de/tosaf.html</w:t>
      </w:r>
    </w:p>
    <w:sectPr w:rsidR="00DA328A" w:rsidRPr="00A53617" w:rsidSect="004E4C72">
      <w:headerReference w:type="default" r:id="rId11"/>
      <w:headerReference w:type="first" r:id="rId12"/>
      <w:type w:val="continuous"/>
      <w:pgSz w:w="11906" w:h="16838"/>
      <w:pgMar w:top="1670" w:right="1797"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48" w:rsidRDefault="00A35248">
      <w:r>
        <w:separator/>
      </w:r>
    </w:p>
  </w:endnote>
  <w:endnote w:type="continuationSeparator" w:id="0">
    <w:p w:rsidR="00A35248" w:rsidRDefault="00A3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w:panose1 w:val="0206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48" w:rsidRDefault="00A35248">
      <w:r>
        <w:separator/>
      </w:r>
    </w:p>
  </w:footnote>
  <w:footnote w:type="continuationSeparator" w:id="0">
    <w:p w:rsidR="00A35248" w:rsidRDefault="00A3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A53617" w:rsidRDefault="00DF53AE" w:rsidP="00B35F5D">
    <w:pPr>
      <w:pStyle w:val="Kopfzeile"/>
      <w:rPr>
        <w:lang w:val="es-ES_tradnl"/>
      </w:rPr>
    </w:pPr>
    <w:r w:rsidRPr="00A53617">
      <w:rPr>
        <w:lang w:val="es-ES_tradnl"/>
      </w:rPr>
      <w:t xml:space="preserve">Página </w:t>
    </w:r>
    <w:r>
      <w:fldChar w:fldCharType="begin"/>
    </w:r>
    <w:r w:rsidRPr="00A53617">
      <w:rPr>
        <w:lang w:val="es-ES_tradnl"/>
      </w:rPr>
      <w:instrText>PAGE   \* MERGEFORMAT</w:instrText>
    </w:r>
    <w:r>
      <w:fldChar w:fldCharType="separate"/>
    </w:r>
    <w:r w:rsidR="00B8364C">
      <w:rPr>
        <w:noProof/>
        <w:lang w:val="es-ES_tradnl"/>
      </w:rPr>
      <w:t>2</w:t>
    </w:r>
    <w:r>
      <w:fldChar w:fldCharType="end"/>
    </w:r>
    <w:r w:rsidRPr="00A53617">
      <w:rPr>
        <w:lang w:val="es-ES_tradnl"/>
      </w:rPr>
      <w:t xml:space="preserve"> del comunicado de prensa:</w:t>
    </w:r>
  </w:p>
  <w:p w:rsidR="00233B2F" w:rsidRPr="006D45F9" w:rsidRDefault="006D45F9" w:rsidP="004E4C72">
    <w:pPr>
      <w:pStyle w:val="Kopfzeile"/>
      <w:pBdr>
        <w:bottom w:val="single" w:sz="4" w:space="1" w:color="auto"/>
      </w:pBdr>
      <w:suppressAutoHyphens/>
      <w:ind w:right="-193"/>
      <w:rPr>
        <w:lang w:val="es-ES_tradnl"/>
      </w:rPr>
    </w:pPr>
    <w:r w:rsidRPr="006D45F9">
      <w:rPr>
        <w:lang w:val="es-ES_tradnl"/>
      </w:rPr>
      <w:t>Nuevo masterbatch multiplica el efecto absorbente de UV de láminas para invernaderos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Default="00171B60">
    <w:pPr>
      <w:pStyle w:val="Kopfzeile"/>
    </w:pPr>
    <w:r>
      <w:rPr>
        <w:noProof/>
        <w:lang w:val="de-DE" w:eastAsia="de-DE"/>
      </w:rPr>
      <w:drawing>
        <wp:inline distT="0" distB="0" distL="0" distR="0" wp14:anchorId="229EFCEB" wp14:editId="4859762C">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sidR="00C55F2D">
      <w:rPr>
        <w:noProof/>
        <w:lang w:val="de-DE" w:eastAsia="de-DE"/>
      </w:rPr>
      <mc:AlternateContent>
        <mc:Choice Requires="wps">
          <w:drawing>
            <wp:anchor distT="0" distB="0" distL="114300" distR="114300" simplePos="0" relativeHeight="251658752" behindDoc="0" locked="0" layoutInCell="1" allowOverlap="1" wp14:anchorId="2B1755AB" wp14:editId="393E593D">
              <wp:simplePos x="0" y="0"/>
              <wp:positionH relativeFrom="column">
                <wp:posOffset>1695450</wp:posOffset>
              </wp:positionH>
              <wp:positionV relativeFrom="paragraph">
                <wp:posOffset>-26670</wp:posOffset>
              </wp:positionV>
              <wp:extent cx="3905250" cy="90678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B8364C" w:rsidRDefault="00B35F5D" w:rsidP="00B35F5D">
                          <w:pPr>
                            <w:spacing w:line="288" w:lineRule="auto"/>
                            <w:jc w:val="right"/>
                            <w:rPr>
                              <w:lang w:val="es-ES"/>
                            </w:rPr>
                          </w:pPr>
                          <w:r w:rsidRPr="00B8364C">
                            <w:rPr>
                              <w:lang w:val="es-ES"/>
                            </w:rPr>
                            <w:t>Tosaf Compounds Ltd.</w:t>
                          </w:r>
                        </w:p>
                        <w:p w:rsidR="00B35F5D" w:rsidRPr="00B8364C" w:rsidRDefault="00B35F5D" w:rsidP="00B35F5D">
                          <w:pPr>
                            <w:spacing w:line="288" w:lineRule="auto"/>
                            <w:jc w:val="right"/>
                            <w:rPr>
                              <w:lang w:val="es-ES"/>
                            </w:rPr>
                          </w:pPr>
                          <w:r w:rsidRPr="00B8364C">
                            <w:rPr>
                              <w:lang w:val="es-ES"/>
                            </w:rPr>
                            <w:t xml:space="preserve">Ind. Zone Elon Tavor </w:t>
                          </w:r>
                        </w:p>
                        <w:p w:rsidR="00B35F5D" w:rsidRPr="00B8364C" w:rsidRDefault="00B35F5D" w:rsidP="00B35F5D">
                          <w:pPr>
                            <w:spacing w:line="288" w:lineRule="auto"/>
                            <w:jc w:val="right"/>
                            <w:rPr>
                              <w:lang w:val="es-ES"/>
                            </w:rPr>
                          </w:pPr>
                          <w:r w:rsidRPr="00B8364C">
                            <w:rPr>
                              <w:lang w:val="es-ES"/>
                            </w:rPr>
                            <w:t xml:space="preserve">P.O.B 2633 </w:t>
                          </w:r>
                        </w:p>
                        <w:p w:rsidR="00B35F5D" w:rsidRPr="00E26836" w:rsidRDefault="00B35F5D" w:rsidP="00B35F5D">
                          <w:pPr>
                            <w:spacing w:line="288" w:lineRule="auto"/>
                            <w:jc w:val="right"/>
                            <w:rPr>
                              <w:lang w:val="es-ES"/>
                            </w:rPr>
                          </w:pPr>
                          <w:r w:rsidRPr="00E26836">
                            <w:rPr>
                              <w:lang w:val="es-ES"/>
                            </w:rP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3B70FF"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" filled="f" stroked="f">
              <v:textbox>
                <w:txbxContent>
                  <w:p w:rsidR="00B35F5D" w:rsidRPr="0066288D" w:rsidRDefault="00B35F5D" w:rsidP="00B35F5D">
                    <w:pPr>
                      <w:spacing w:line="288" w:lineRule="auto"/>
                      <w:jc w:val="right"/>
                      <w:rPr>
                        <w:lang w:val="es-ES"/>
                      </w:rPr>
                    </w:pPr>
                    <w:r w:rsidRPr="0066288D">
                      <w:rPr>
                        <w:lang w:val="es-ES"/>
                      </w:rPr>
                      <w:t xml:space="preserve">Tosaf </w:t>
                    </w:r>
                    <w:proofErr w:type="spellStart"/>
                    <w:r w:rsidRPr="0066288D">
                      <w:rPr>
                        <w:lang w:val="es-ES"/>
                      </w:rPr>
                      <w:t>Compounds</w:t>
                    </w:r>
                    <w:proofErr w:type="spellEnd"/>
                    <w:r w:rsidRPr="0066288D">
                      <w:rPr>
                        <w:lang w:val="es-ES"/>
                      </w:rPr>
                      <w:t xml:space="preserve"> Ltd.</w:t>
                    </w:r>
                  </w:p>
                  <w:p w:rsidR="00B35F5D" w:rsidRPr="0066288D" w:rsidRDefault="00B35F5D" w:rsidP="00B35F5D">
                    <w:pPr>
                      <w:spacing w:line="288" w:lineRule="auto"/>
                      <w:jc w:val="right"/>
                      <w:rPr>
                        <w:lang w:val="es-ES"/>
                      </w:rPr>
                    </w:pPr>
                    <w:proofErr w:type="spellStart"/>
                    <w:r w:rsidRPr="0066288D">
                      <w:rPr>
                        <w:lang w:val="es-ES"/>
                      </w:rPr>
                      <w:t>Ind</w:t>
                    </w:r>
                    <w:proofErr w:type="spellEnd"/>
                    <w:r w:rsidRPr="0066288D">
                      <w:rPr>
                        <w:lang w:val="es-ES"/>
                      </w:rPr>
                      <w:t xml:space="preserve">. </w:t>
                    </w:r>
                    <w:proofErr w:type="spellStart"/>
                    <w:r w:rsidRPr="0066288D">
                      <w:rPr>
                        <w:lang w:val="es-ES"/>
                      </w:rPr>
                      <w:t>Zone</w:t>
                    </w:r>
                    <w:proofErr w:type="spellEnd"/>
                    <w:r w:rsidRPr="0066288D">
                      <w:rPr>
                        <w:lang w:val="es-ES"/>
                      </w:rPr>
                      <w:t xml:space="preserve"> </w:t>
                    </w:r>
                    <w:proofErr w:type="spellStart"/>
                    <w:r w:rsidRPr="0066288D">
                      <w:rPr>
                        <w:lang w:val="es-ES"/>
                      </w:rPr>
                      <w:t>Elon</w:t>
                    </w:r>
                    <w:proofErr w:type="spellEnd"/>
                    <w:r w:rsidRPr="0066288D">
                      <w:rPr>
                        <w:lang w:val="es-ES"/>
                      </w:rPr>
                      <w:t xml:space="preserve"> </w:t>
                    </w:r>
                    <w:proofErr w:type="spellStart"/>
                    <w:r w:rsidRPr="0066288D">
                      <w:rPr>
                        <w:lang w:val="es-ES"/>
                      </w:rPr>
                      <w:t>Tavor</w:t>
                    </w:r>
                    <w:proofErr w:type="spellEnd"/>
                    <w:r w:rsidRPr="0066288D">
                      <w:rPr>
                        <w:lang w:val="es-ES"/>
                      </w:rPr>
                      <w:t xml:space="preserve"> </w:t>
                    </w:r>
                  </w:p>
                  <w:p w:rsidR="00B35F5D" w:rsidRPr="0066288D" w:rsidRDefault="00B35F5D" w:rsidP="00B35F5D">
                    <w:pPr>
                      <w:spacing w:line="288" w:lineRule="auto"/>
                      <w:jc w:val="right"/>
                      <w:rPr>
                        <w:lang w:val="es-ES"/>
                      </w:rPr>
                    </w:pPr>
                    <w:r w:rsidRPr="0066288D">
                      <w:rPr>
                        <w:lang w:val="es-ES"/>
                      </w:rPr>
                      <w:t xml:space="preserve">P.O.B 2633 </w:t>
                    </w:r>
                  </w:p>
                  <w:p w:rsidR="00B35F5D" w:rsidRPr="00E26836" w:rsidRDefault="00B35F5D" w:rsidP="00B35F5D">
                    <w:pPr>
                      <w:spacing w:line="288" w:lineRule="auto"/>
                      <w:jc w:val="right"/>
                      <w:rPr>
                        <w:lang w:val="es-ES"/>
                      </w:rPr>
                    </w:pPr>
                    <w:proofErr w:type="spellStart"/>
                    <w:r w:rsidRPr="00E26836">
                      <w:rPr>
                        <w:lang w:val="es-ES"/>
                      </w:rPr>
                      <w:t>Afula</w:t>
                    </w:r>
                    <w:proofErr w:type="spellEnd"/>
                    <w:r w:rsidRPr="00E26836">
                      <w:rPr>
                        <w:lang w:val="es-ES"/>
                      </w:rPr>
                      <w:t xml:space="preserve">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hyphenationZone w:val="454"/>
  <w:doNotHyphenateCap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12458"/>
    <w:rsid w:val="00013654"/>
    <w:rsid w:val="000148FF"/>
    <w:rsid w:val="00021B2D"/>
    <w:rsid w:val="00021C28"/>
    <w:rsid w:val="000254B3"/>
    <w:rsid w:val="0002763E"/>
    <w:rsid w:val="0003256C"/>
    <w:rsid w:val="00050D63"/>
    <w:rsid w:val="00056A95"/>
    <w:rsid w:val="0006148E"/>
    <w:rsid w:val="00062A93"/>
    <w:rsid w:val="00085C5C"/>
    <w:rsid w:val="00095F84"/>
    <w:rsid w:val="000B11F2"/>
    <w:rsid w:val="000B3B70"/>
    <w:rsid w:val="000D2F4B"/>
    <w:rsid w:val="000E5943"/>
    <w:rsid w:val="000F18C0"/>
    <w:rsid w:val="000F6344"/>
    <w:rsid w:val="0011623D"/>
    <w:rsid w:val="00137539"/>
    <w:rsid w:val="001453F1"/>
    <w:rsid w:val="00150FA5"/>
    <w:rsid w:val="00151D39"/>
    <w:rsid w:val="00160A2A"/>
    <w:rsid w:val="00171B60"/>
    <w:rsid w:val="00175E1B"/>
    <w:rsid w:val="001764CA"/>
    <w:rsid w:val="001832E1"/>
    <w:rsid w:val="00185D32"/>
    <w:rsid w:val="0019106C"/>
    <w:rsid w:val="001B3A6A"/>
    <w:rsid w:val="001B79CF"/>
    <w:rsid w:val="001C4A5C"/>
    <w:rsid w:val="001D2832"/>
    <w:rsid w:val="001D4F89"/>
    <w:rsid w:val="001E5A4F"/>
    <w:rsid w:val="001E660A"/>
    <w:rsid w:val="001F089A"/>
    <w:rsid w:val="00221225"/>
    <w:rsid w:val="00223E37"/>
    <w:rsid w:val="00225C54"/>
    <w:rsid w:val="00225D26"/>
    <w:rsid w:val="002325D3"/>
    <w:rsid w:val="00233B2F"/>
    <w:rsid w:val="0024116B"/>
    <w:rsid w:val="00250D2C"/>
    <w:rsid w:val="002600B5"/>
    <w:rsid w:val="002623AF"/>
    <w:rsid w:val="00270E41"/>
    <w:rsid w:val="00295C14"/>
    <w:rsid w:val="002A01CF"/>
    <w:rsid w:val="002C6BF7"/>
    <w:rsid w:val="002E19F0"/>
    <w:rsid w:val="002F1776"/>
    <w:rsid w:val="002F6B9B"/>
    <w:rsid w:val="0030263C"/>
    <w:rsid w:val="00320BE3"/>
    <w:rsid w:val="00327D43"/>
    <w:rsid w:val="00335CAB"/>
    <w:rsid w:val="00355685"/>
    <w:rsid w:val="00361073"/>
    <w:rsid w:val="003658E4"/>
    <w:rsid w:val="0037471E"/>
    <w:rsid w:val="00375FDE"/>
    <w:rsid w:val="00380656"/>
    <w:rsid w:val="003A2AC3"/>
    <w:rsid w:val="003A3EB4"/>
    <w:rsid w:val="003A5E7C"/>
    <w:rsid w:val="003B18D9"/>
    <w:rsid w:val="003D4B9F"/>
    <w:rsid w:val="003F395E"/>
    <w:rsid w:val="003F692C"/>
    <w:rsid w:val="004045BF"/>
    <w:rsid w:val="00426FEB"/>
    <w:rsid w:val="004305E2"/>
    <w:rsid w:val="00430BF5"/>
    <w:rsid w:val="00430C85"/>
    <w:rsid w:val="00435D5D"/>
    <w:rsid w:val="00446D11"/>
    <w:rsid w:val="0046030F"/>
    <w:rsid w:val="00473193"/>
    <w:rsid w:val="00480E65"/>
    <w:rsid w:val="00481E9B"/>
    <w:rsid w:val="004A2865"/>
    <w:rsid w:val="004A6D66"/>
    <w:rsid w:val="004B55E3"/>
    <w:rsid w:val="004B5E7D"/>
    <w:rsid w:val="004E0749"/>
    <w:rsid w:val="004E4C72"/>
    <w:rsid w:val="004F01F5"/>
    <w:rsid w:val="004F0529"/>
    <w:rsid w:val="004F0AAD"/>
    <w:rsid w:val="004F1CAE"/>
    <w:rsid w:val="00502A67"/>
    <w:rsid w:val="00512120"/>
    <w:rsid w:val="005162E2"/>
    <w:rsid w:val="00524BE3"/>
    <w:rsid w:val="00531F73"/>
    <w:rsid w:val="0053353B"/>
    <w:rsid w:val="0054336B"/>
    <w:rsid w:val="00552B7F"/>
    <w:rsid w:val="00553705"/>
    <w:rsid w:val="005619FB"/>
    <w:rsid w:val="00561D69"/>
    <w:rsid w:val="00562B49"/>
    <w:rsid w:val="0057046E"/>
    <w:rsid w:val="005755DE"/>
    <w:rsid w:val="00576B38"/>
    <w:rsid w:val="005832F0"/>
    <w:rsid w:val="005915D0"/>
    <w:rsid w:val="005947C3"/>
    <w:rsid w:val="005A0C2F"/>
    <w:rsid w:val="005A68B6"/>
    <w:rsid w:val="005B7FE4"/>
    <w:rsid w:val="005C1570"/>
    <w:rsid w:val="005C75C5"/>
    <w:rsid w:val="005E31EB"/>
    <w:rsid w:val="005F7665"/>
    <w:rsid w:val="00603510"/>
    <w:rsid w:val="00607D86"/>
    <w:rsid w:val="00630596"/>
    <w:rsid w:val="00633E2D"/>
    <w:rsid w:val="00643FB4"/>
    <w:rsid w:val="00652E43"/>
    <w:rsid w:val="0066288D"/>
    <w:rsid w:val="00674FCE"/>
    <w:rsid w:val="006771F9"/>
    <w:rsid w:val="006923E3"/>
    <w:rsid w:val="00694A79"/>
    <w:rsid w:val="006A1452"/>
    <w:rsid w:val="006B0CBE"/>
    <w:rsid w:val="006B2BC9"/>
    <w:rsid w:val="006B4FA6"/>
    <w:rsid w:val="006D45F9"/>
    <w:rsid w:val="006D5D4D"/>
    <w:rsid w:val="006E719F"/>
    <w:rsid w:val="006F0D7F"/>
    <w:rsid w:val="006F17B4"/>
    <w:rsid w:val="00703E82"/>
    <w:rsid w:val="0070428A"/>
    <w:rsid w:val="00706B06"/>
    <w:rsid w:val="007113E6"/>
    <w:rsid w:val="007115BA"/>
    <w:rsid w:val="007130F2"/>
    <w:rsid w:val="00716E74"/>
    <w:rsid w:val="007253CA"/>
    <w:rsid w:val="00731F11"/>
    <w:rsid w:val="00735B4D"/>
    <w:rsid w:val="00737D16"/>
    <w:rsid w:val="00744566"/>
    <w:rsid w:val="00753C80"/>
    <w:rsid w:val="00760DB2"/>
    <w:rsid w:val="007659C1"/>
    <w:rsid w:val="0076784E"/>
    <w:rsid w:val="00781ED8"/>
    <w:rsid w:val="0078683F"/>
    <w:rsid w:val="00790536"/>
    <w:rsid w:val="00795676"/>
    <w:rsid w:val="007B2EDB"/>
    <w:rsid w:val="007D6D25"/>
    <w:rsid w:val="007E25E3"/>
    <w:rsid w:val="007E3D57"/>
    <w:rsid w:val="007E5D81"/>
    <w:rsid w:val="007F2A51"/>
    <w:rsid w:val="0081767F"/>
    <w:rsid w:val="00830EC0"/>
    <w:rsid w:val="0083708E"/>
    <w:rsid w:val="008446B5"/>
    <w:rsid w:val="00857D6B"/>
    <w:rsid w:val="00867353"/>
    <w:rsid w:val="00867FF8"/>
    <w:rsid w:val="00877FD3"/>
    <w:rsid w:val="00882B71"/>
    <w:rsid w:val="00883E40"/>
    <w:rsid w:val="008A6044"/>
    <w:rsid w:val="008B5B85"/>
    <w:rsid w:val="008B5DB2"/>
    <w:rsid w:val="008B6AE8"/>
    <w:rsid w:val="008C2BE5"/>
    <w:rsid w:val="008C4788"/>
    <w:rsid w:val="008D6402"/>
    <w:rsid w:val="008E67E2"/>
    <w:rsid w:val="008F2B5A"/>
    <w:rsid w:val="008F5B0B"/>
    <w:rsid w:val="00905657"/>
    <w:rsid w:val="009214B6"/>
    <w:rsid w:val="00921D29"/>
    <w:rsid w:val="00930E9A"/>
    <w:rsid w:val="00932E16"/>
    <w:rsid w:val="00942505"/>
    <w:rsid w:val="0094553B"/>
    <w:rsid w:val="009463D1"/>
    <w:rsid w:val="00954BE8"/>
    <w:rsid w:val="00963756"/>
    <w:rsid w:val="009820E5"/>
    <w:rsid w:val="00982237"/>
    <w:rsid w:val="00985A35"/>
    <w:rsid w:val="00986A7A"/>
    <w:rsid w:val="009A488C"/>
    <w:rsid w:val="009B7A08"/>
    <w:rsid w:val="009C0CEA"/>
    <w:rsid w:val="009C5D64"/>
    <w:rsid w:val="009D0BA6"/>
    <w:rsid w:val="009E4815"/>
    <w:rsid w:val="00A02069"/>
    <w:rsid w:val="00A0377C"/>
    <w:rsid w:val="00A0414C"/>
    <w:rsid w:val="00A15A0D"/>
    <w:rsid w:val="00A24659"/>
    <w:rsid w:val="00A2566A"/>
    <w:rsid w:val="00A35248"/>
    <w:rsid w:val="00A45B37"/>
    <w:rsid w:val="00A477D4"/>
    <w:rsid w:val="00A53617"/>
    <w:rsid w:val="00A56443"/>
    <w:rsid w:val="00A64F08"/>
    <w:rsid w:val="00A70363"/>
    <w:rsid w:val="00A71C49"/>
    <w:rsid w:val="00A73708"/>
    <w:rsid w:val="00A84250"/>
    <w:rsid w:val="00A8504A"/>
    <w:rsid w:val="00A86725"/>
    <w:rsid w:val="00A954A9"/>
    <w:rsid w:val="00A9593A"/>
    <w:rsid w:val="00A967B6"/>
    <w:rsid w:val="00AA0C33"/>
    <w:rsid w:val="00AB13C7"/>
    <w:rsid w:val="00AB619A"/>
    <w:rsid w:val="00AC6B65"/>
    <w:rsid w:val="00AC79CB"/>
    <w:rsid w:val="00AD7034"/>
    <w:rsid w:val="00AF241C"/>
    <w:rsid w:val="00B06168"/>
    <w:rsid w:val="00B108E7"/>
    <w:rsid w:val="00B1435B"/>
    <w:rsid w:val="00B17E78"/>
    <w:rsid w:val="00B3021A"/>
    <w:rsid w:val="00B35F5D"/>
    <w:rsid w:val="00B371C1"/>
    <w:rsid w:val="00B412C5"/>
    <w:rsid w:val="00B46DFE"/>
    <w:rsid w:val="00B661CF"/>
    <w:rsid w:val="00B67A23"/>
    <w:rsid w:val="00B7349B"/>
    <w:rsid w:val="00B82E54"/>
    <w:rsid w:val="00B8364C"/>
    <w:rsid w:val="00B933B6"/>
    <w:rsid w:val="00BA31DF"/>
    <w:rsid w:val="00BA7E69"/>
    <w:rsid w:val="00BB135E"/>
    <w:rsid w:val="00BB7AB8"/>
    <w:rsid w:val="00BC127B"/>
    <w:rsid w:val="00BC6E82"/>
    <w:rsid w:val="00BD4F6D"/>
    <w:rsid w:val="00BE2E30"/>
    <w:rsid w:val="00BF7C37"/>
    <w:rsid w:val="00C05962"/>
    <w:rsid w:val="00C05D22"/>
    <w:rsid w:val="00C078D9"/>
    <w:rsid w:val="00C178D8"/>
    <w:rsid w:val="00C179FF"/>
    <w:rsid w:val="00C229B5"/>
    <w:rsid w:val="00C30CD6"/>
    <w:rsid w:val="00C31019"/>
    <w:rsid w:val="00C3166A"/>
    <w:rsid w:val="00C32DF0"/>
    <w:rsid w:val="00C46BE3"/>
    <w:rsid w:val="00C47853"/>
    <w:rsid w:val="00C52148"/>
    <w:rsid w:val="00C55F2D"/>
    <w:rsid w:val="00C60BFF"/>
    <w:rsid w:val="00C63007"/>
    <w:rsid w:val="00C6330F"/>
    <w:rsid w:val="00C73853"/>
    <w:rsid w:val="00C94D93"/>
    <w:rsid w:val="00CB3ED7"/>
    <w:rsid w:val="00CB7EBA"/>
    <w:rsid w:val="00CC26F0"/>
    <w:rsid w:val="00CD69AF"/>
    <w:rsid w:val="00CF267C"/>
    <w:rsid w:val="00CF367B"/>
    <w:rsid w:val="00D03DCF"/>
    <w:rsid w:val="00D11221"/>
    <w:rsid w:val="00D25738"/>
    <w:rsid w:val="00D3558E"/>
    <w:rsid w:val="00D35BDC"/>
    <w:rsid w:val="00D36812"/>
    <w:rsid w:val="00D4215F"/>
    <w:rsid w:val="00D548E1"/>
    <w:rsid w:val="00D55A75"/>
    <w:rsid w:val="00D92500"/>
    <w:rsid w:val="00D97653"/>
    <w:rsid w:val="00DA328A"/>
    <w:rsid w:val="00DA5E0B"/>
    <w:rsid w:val="00DA66BF"/>
    <w:rsid w:val="00DB1AE8"/>
    <w:rsid w:val="00DB26A7"/>
    <w:rsid w:val="00DB6449"/>
    <w:rsid w:val="00DC5748"/>
    <w:rsid w:val="00DD3EA1"/>
    <w:rsid w:val="00DE2AA0"/>
    <w:rsid w:val="00DF294C"/>
    <w:rsid w:val="00DF53AE"/>
    <w:rsid w:val="00E05C3D"/>
    <w:rsid w:val="00E139D4"/>
    <w:rsid w:val="00E23C8D"/>
    <w:rsid w:val="00E26836"/>
    <w:rsid w:val="00E36FA0"/>
    <w:rsid w:val="00E42313"/>
    <w:rsid w:val="00E51CD4"/>
    <w:rsid w:val="00E52B6E"/>
    <w:rsid w:val="00E56400"/>
    <w:rsid w:val="00E663BD"/>
    <w:rsid w:val="00E66420"/>
    <w:rsid w:val="00E82BE2"/>
    <w:rsid w:val="00E933FF"/>
    <w:rsid w:val="00E976EF"/>
    <w:rsid w:val="00EA65F8"/>
    <w:rsid w:val="00EB7DF8"/>
    <w:rsid w:val="00EC0B18"/>
    <w:rsid w:val="00EE2F44"/>
    <w:rsid w:val="00EF44C8"/>
    <w:rsid w:val="00EF6339"/>
    <w:rsid w:val="00F05942"/>
    <w:rsid w:val="00F12087"/>
    <w:rsid w:val="00F42D93"/>
    <w:rsid w:val="00F47368"/>
    <w:rsid w:val="00F52A85"/>
    <w:rsid w:val="00F63AF8"/>
    <w:rsid w:val="00F6479C"/>
    <w:rsid w:val="00F64C04"/>
    <w:rsid w:val="00F653E7"/>
    <w:rsid w:val="00F728E6"/>
    <w:rsid w:val="00F72F5C"/>
    <w:rsid w:val="00F745BC"/>
    <w:rsid w:val="00F830BD"/>
    <w:rsid w:val="00F83A0D"/>
    <w:rsid w:val="00F911BF"/>
    <w:rsid w:val="00FA2E1D"/>
    <w:rsid w:val="00FA7BDA"/>
    <w:rsid w:val="00FB44C4"/>
    <w:rsid w:val="00FB7DBA"/>
    <w:rsid w:val="00FC05C4"/>
    <w:rsid w:val="00FC5B52"/>
    <w:rsid w:val="00FD2697"/>
    <w:rsid w:val="00FD4360"/>
    <w:rsid w:val="00FD6966"/>
    <w:rsid w:val="00FF73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613248936">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130976815">
      <w:bodyDiv w:val="1"/>
      <w:marLeft w:val="0"/>
      <w:marRight w:val="0"/>
      <w:marTop w:val="0"/>
      <w:marBottom w:val="0"/>
      <w:divBdr>
        <w:top w:val="none" w:sz="0" w:space="0" w:color="auto"/>
        <w:left w:val="none" w:sz="0" w:space="0" w:color="auto"/>
        <w:bottom w:val="none" w:sz="0" w:space="0" w:color="auto"/>
        <w:right w:val="none" w:sz="0" w:space="0" w:color="auto"/>
      </w:divBdr>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2A5D-75B2-4826-8026-5195E09E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D054BB8C.dotm</Template>
  <TotalTime>0</TotalTime>
  <Pages>2</Pages>
  <Words>607</Words>
  <Characters>3330</Characters>
  <Application>Microsoft Office Word</Application>
  <DocSecurity>0</DocSecurity>
  <Lines>27</Lines>
  <Paragraphs>7</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Tosaf to Increase Production Capacity to 90kT/y by end 2004</vt:lpstr>
      <vt:lpstr>Tosaf to Increase Production Capacity to 90kT/y by end 2004</vt:lpstr>
      <vt:lpstr>Tosaf to Increase Production Capacity to 90kT/y by end 2004</vt:lpstr>
    </vt:vector>
  </TitlesOfParts>
  <Company>tosaf</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Jörg Wolters</cp:lastModifiedBy>
  <cp:revision>2</cp:revision>
  <cp:lastPrinted>2011-01-20T07:56:00Z</cp:lastPrinted>
  <dcterms:created xsi:type="dcterms:W3CDTF">2015-02-10T13:14:00Z</dcterms:created>
  <dcterms:modified xsi:type="dcterms:W3CDTF">2015-02-10T13:14:00Z</dcterms:modified>
</cp:coreProperties>
</file>